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3FA34" w14:textId="42BE182E"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C138D2">
        <w:rPr>
          <w:rFonts w:cs="Arial"/>
          <w:sz w:val="24"/>
          <w:szCs w:val="24"/>
        </w:rPr>
        <w:t>9</w:t>
      </w:r>
      <w:r w:rsidR="0066661F">
        <w:rPr>
          <w:rFonts w:cs="Arial"/>
          <w:sz w:val="24"/>
          <w:szCs w:val="24"/>
        </w:rPr>
        <w:t>5</w:t>
      </w:r>
      <w:r w:rsidR="00BF312E">
        <w:rPr>
          <w:rFonts w:cs="Arial"/>
          <w:sz w:val="24"/>
          <w:szCs w:val="24"/>
        </w:rPr>
        <w:t>-e</w:t>
      </w:r>
      <w:r w:rsidRPr="002D6524">
        <w:rPr>
          <w:rFonts w:cs="Arial"/>
          <w:noProof w:val="0"/>
          <w:sz w:val="24"/>
        </w:rPr>
        <w:tab/>
      </w:r>
      <w:r w:rsidRPr="002D6524">
        <w:rPr>
          <w:rFonts w:cs="Arial"/>
          <w:noProof w:val="0"/>
          <w:sz w:val="24"/>
        </w:rPr>
        <w:tab/>
      </w:r>
      <w:r w:rsidR="005D3DE9" w:rsidRPr="005D3DE9">
        <w:rPr>
          <w:rFonts w:cs="Arial"/>
          <w:noProof w:val="0"/>
          <w:sz w:val="24"/>
        </w:rPr>
        <w:t>R4-200</w:t>
      </w:r>
      <w:r w:rsidR="00710843">
        <w:rPr>
          <w:rFonts w:cs="Arial"/>
          <w:noProof w:val="0"/>
          <w:sz w:val="24"/>
        </w:rPr>
        <w:t>6523</w:t>
      </w:r>
    </w:p>
    <w:p w14:paraId="5BD2795A" w14:textId="44D17399"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66661F">
        <w:rPr>
          <w:rFonts w:cs="Arial"/>
          <w:sz w:val="24"/>
          <w:szCs w:val="24"/>
        </w:rPr>
        <w:t>25</w:t>
      </w:r>
      <w:r w:rsidRPr="000F6D9F">
        <w:rPr>
          <w:rFonts w:cs="Arial"/>
          <w:sz w:val="24"/>
          <w:szCs w:val="24"/>
        </w:rPr>
        <w:t xml:space="preserve"> </w:t>
      </w:r>
      <w:r w:rsidR="0066661F">
        <w:rPr>
          <w:rFonts w:cs="Arial"/>
          <w:sz w:val="24"/>
          <w:szCs w:val="24"/>
        </w:rPr>
        <w:t>May</w:t>
      </w:r>
      <w:r w:rsidRPr="000F6D9F">
        <w:rPr>
          <w:rFonts w:cs="Arial"/>
          <w:sz w:val="24"/>
          <w:szCs w:val="24"/>
        </w:rPr>
        <w:t xml:space="preserve"> – </w:t>
      </w:r>
      <w:r w:rsidR="0066661F">
        <w:rPr>
          <w:rFonts w:cs="Arial"/>
          <w:sz w:val="24"/>
          <w:szCs w:val="24"/>
        </w:rPr>
        <w:t>5</w:t>
      </w:r>
      <w:r w:rsidRPr="000F6D9F">
        <w:rPr>
          <w:rFonts w:cs="Arial"/>
          <w:sz w:val="24"/>
          <w:szCs w:val="24"/>
        </w:rPr>
        <w:t xml:space="preserve"> </w:t>
      </w:r>
      <w:r w:rsidR="0066661F">
        <w:rPr>
          <w:rFonts w:cs="Arial"/>
          <w:sz w:val="24"/>
          <w:szCs w:val="24"/>
        </w:rPr>
        <w:t>June</w:t>
      </w:r>
      <w:r w:rsidRPr="000F6D9F">
        <w:rPr>
          <w:rFonts w:cs="Arial"/>
          <w:sz w:val="24"/>
          <w:szCs w:val="24"/>
        </w:rPr>
        <w:t>, 2020</w:t>
      </w:r>
    </w:p>
    <w:p w14:paraId="34865114"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1FE14EE0" w14:textId="3838975C"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0C1211" w:rsidRPr="000C1211">
        <w:rPr>
          <w:rFonts w:ascii="Arial" w:hAnsi="Arial" w:cs="Arial"/>
          <w:b/>
          <w:sz w:val="24"/>
        </w:rPr>
        <w:t>4.11.1</w:t>
      </w:r>
    </w:p>
    <w:p w14:paraId="219B9C5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69C9EC47" w14:textId="7342FF4B"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BB0FA1" w:rsidRPr="00BB0FA1">
        <w:rPr>
          <w:rFonts w:ascii="Arial" w:hAnsi="Arial" w:cs="Arial"/>
          <w:b/>
          <w:sz w:val="24"/>
        </w:rPr>
        <w:t>Discussion on DL physical channels power ratios</w:t>
      </w:r>
    </w:p>
    <w:p w14:paraId="027A59DB"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2AD5D5EA" w14:textId="77777777" w:rsidR="004B515E" w:rsidRPr="00146B4F" w:rsidRDefault="004B515E" w:rsidP="00732666">
      <w:pPr>
        <w:pStyle w:val="Heading1"/>
      </w:pPr>
      <w:r w:rsidRPr="00146B4F">
        <w:t>Introduction</w:t>
      </w:r>
    </w:p>
    <w:p w14:paraId="3F4BE5A5" w14:textId="2C561BE5" w:rsidR="000C1211" w:rsidRDefault="00D86B9D" w:rsidP="00CF667C">
      <w:pPr>
        <w:jc w:val="both"/>
      </w:pPr>
      <w:r>
        <w:t>In the previous RAN4 meeting</w:t>
      </w:r>
      <w:r w:rsidR="0066661F">
        <w:t>,</w:t>
      </w:r>
      <w:r w:rsidR="005D3DE9">
        <w:t xml:space="preserve"> the following agreements were reached</w:t>
      </w:r>
      <w:r w:rsidR="0066661F">
        <w:t xml:space="preserve"> on DL channels mapping and power ratios configurations </w:t>
      </w:r>
      <w:r w:rsidR="0066661F">
        <w:fldChar w:fldCharType="begin"/>
      </w:r>
      <w:r w:rsidR="0066661F">
        <w:instrText xml:space="preserve"> REF _Ref37336207 \r \h </w:instrText>
      </w:r>
      <w:r w:rsidR="0066661F">
        <w:fldChar w:fldCharType="separate"/>
      </w:r>
      <w:r w:rsidR="0066661F">
        <w:t>[1]</w:t>
      </w:r>
      <w:r w:rsidR="0066661F">
        <w:fldChar w:fldCharType="end"/>
      </w:r>
      <w:r w:rsidR="005D3DE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0C1211" w:rsidRPr="00E17C0D" w14:paraId="0D2C96DF" w14:textId="77777777" w:rsidTr="0004154E">
        <w:tc>
          <w:tcPr>
            <w:tcW w:w="9855" w:type="dxa"/>
            <w:shd w:val="clear" w:color="auto" w:fill="auto"/>
          </w:tcPr>
          <w:p w14:paraId="098C9C39" w14:textId="77777777" w:rsidR="0066661F" w:rsidRPr="0066661F" w:rsidRDefault="0066661F" w:rsidP="0066661F">
            <w:pPr>
              <w:numPr>
                <w:ilvl w:val="0"/>
                <w:numId w:val="16"/>
              </w:numPr>
              <w:tabs>
                <w:tab w:val="num" w:pos="2880"/>
              </w:tabs>
              <w:spacing w:before="60" w:after="60" w:line="280" w:lineRule="atLeast"/>
              <w:jc w:val="both"/>
              <w:rPr>
                <w:i/>
                <w:lang w:val="en-US"/>
              </w:rPr>
            </w:pPr>
            <w:r w:rsidRPr="0066661F">
              <w:rPr>
                <w:i/>
                <w:lang w:val="en-US"/>
              </w:rPr>
              <w:t>Specify antenna port to physical antenna mapping in Annex B.4.1.</w:t>
            </w:r>
          </w:p>
          <w:p w14:paraId="7251E3A9" w14:textId="77777777" w:rsidR="0066661F" w:rsidRPr="0066661F" w:rsidRDefault="0066661F" w:rsidP="0066661F">
            <w:pPr>
              <w:numPr>
                <w:ilvl w:val="0"/>
                <w:numId w:val="16"/>
              </w:numPr>
              <w:tabs>
                <w:tab w:val="num" w:pos="2880"/>
              </w:tabs>
              <w:spacing w:before="60" w:after="60" w:line="280" w:lineRule="atLeast"/>
              <w:jc w:val="both"/>
              <w:rPr>
                <w:i/>
                <w:lang w:val="en-US"/>
              </w:rPr>
            </w:pPr>
            <w:r w:rsidRPr="0066661F">
              <w:rPr>
                <w:i/>
                <w:lang w:val="en-US"/>
              </w:rPr>
              <w:t>Clarification on definition of EPRE will be provided in Table C.3.1-1 and Table C.5.1-1:</w:t>
            </w:r>
          </w:p>
          <w:p w14:paraId="4A97C9FF" w14:textId="77777777" w:rsidR="0066661F" w:rsidRPr="0066661F" w:rsidRDefault="0066661F" w:rsidP="0066661F">
            <w:pPr>
              <w:numPr>
                <w:ilvl w:val="1"/>
                <w:numId w:val="16"/>
              </w:numPr>
              <w:tabs>
                <w:tab w:val="num" w:pos="2880"/>
              </w:tabs>
              <w:spacing w:before="60" w:after="60" w:line="280" w:lineRule="atLeast"/>
              <w:jc w:val="both"/>
              <w:rPr>
                <w:i/>
                <w:lang w:val="en-US"/>
              </w:rPr>
            </w:pPr>
            <w:r w:rsidRPr="0066661F">
              <w:rPr>
                <w:i/>
                <w:lang w:val="en-US"/>
              </w:rPr>
              <w:t>Companies are encouraged to check EPRE definition in TS 38.214 (i.e. per port or for all ports, before or after precoder etc.)</w:t>
            </w:r>
          </w:p>
          <w:p w14:paraId="4176FF4A" w14:textId="1F384444" w:rsidR="000C1211" w:rsidRPr="0066661F" w:rsidRDefault="0066661F" w:rsidP="0066661F">
            <w:pPr>
              <w:numPr>
                <w:ilvl w:val="0"/>
                <w:numId w:val="16"/>
              </w:numPr>
              <w:tabs>
                <w:tab w:val="num" w:pos="2880"/>
              </w:tabs>
              <w:spacing w:before="60" w:after="60" w:line="280" w:lineRule="atLeast"/>
              <w:jc w:val="both"/>
              <w:rPr>
                <w:i/>
                <w:lang w:val="en-US"/>
              </w:rPr>
            </w:pPr>
            <w:r w:rsidRPr="0066661F">
              <w:rPr>
                <w:i/>
                <w:lang w:val="en-US"/>
              </w:rPr>
              <w:t xml:space="preserve">EPRE ratios in Annex C are determined such that </w:t>
            </w:r>
            <w:r w:rsidRPr="0066661F">
              <w:rPr>
                <w:i/>
                <w:iCs/>
                <w:lang w:val="en-US"/>
              </w:rPr>
              <w:t>powerControlOffset</w:t>
            </w:r>
            <w:r w:rsidRPr="0066661F">
              <w:rPr>
                <w:i/>
                <w:lang w:val="en-US"/>
              </w:rPr>
              <w:t xml:space="preserve"> and </w:t>
            </w:r>
            <w:r w:rsidRPr="0066661F">
              <w:rPr>
                <w:i/>
                <w:iCs/>
                <w:lang w:val="en-US"/>
              </w:rPr>
              <w:t>powerControlOffsetSS</w:t>
            </w:r>
            <w:r w:rsidRPr="0066661F">
              <w:rPr>
                <w:i/>
                <w:lang w:val="en-US"/>
              </w:rPr>
              <w:t xml:space="preserve"> are set to 0.</w:t>
            </w:r>
          </w:p>
        </w:tc>
      </w:tr>
    </w:tbl>
    <w:p w14:paraId="35F5E36A" w14:textId="4C9FA810" w:rsidR="00D86B9D" w:rsidRDefault="00D86B9D" w:rsidP="00CF667C">
      <w:pPr>
        <w:jc w:val="both"/>
      </w:pPr>
      <w:r>
        <w:t>In this paper we provide our view on remaining open issues</w:t>
      </w:r>
      <w:r w:rsidR="000C1211">
        <w:t xml:space="preserve"> related to DL signals power ratios</w:t>
      </w:r>
      <w:r>
        <w:t>.</w:t>
      </w:r>
    </w:p>
    <w:p w14:paraId="024BB9F6" w14:textId="77777777" w:rsidR="00CF667C" w:rsidRPr="00146B4F" w:rsidRDefault="00CF667C" w:rsidP="00732666">
      <w:pPr>
        <w:pStyle w:val="Heading1"/>
      </w:pPr>
      <w:r>
        <w:t>Discussion</w:t>
      </w:r>
    </w:p>
    <w:p w14:paraId="021A9B6E" w14:textId="0795C71F" w:rsidR="00BD769D" w:rsidRPr="00DE596E" w:rsidRDefault="00876B78" w:rsidP="000C1211">
      <w:pPr>
        <w:rPr>
          <w:lang w:eastAsia="ja-JP" w:bidi="hi-IN"/>
        </w:rPr>
      </w:pPr>
      <w:r w:rsidRPr="00DE596E">
        <w:rPr>
          <w:lang w:eastAsia="ja-JP" w:bidi="hi-IN"/>
        </w:rPr>
        <w:t>At current stage, the following configuration is defined for DL signal power rations in TS 38.101-4</w:t>
      </w:r>
      <w:r w:rsidR="00DE596E">
        <w:rPr>
          <w:lang w:eastAsia="ja-JP" w:bidi="hi-I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D769D" w:rsidRPr="001E1280" w14:paraId="00AEDB78" w14:textId="77777777" w:rsidTr="001E1280">
        <w:tc>
          <w:tcPr>
            <w:tcW w:w="9855" w:type="dxa"/>
            <w:shd w:val="clear" w:color="auto" w:fill="auto"/>
          </w:tcPr>
          <w:p w14:paraId="2240C517" w14:textId="77777777" w:rsidR="00BD769D" w:rsidRPr="00BD769D" w:rsidRDefault="00BD769D" w:rsidP="001E1280">
            <w:pPr>
              <w:keepNext/>
              <w:keepLines/>
              <w:overflowPunct/>
              <w:autoSpaceDE/>
              <w:autoSpaceDN/>
              <w:adjustRightInd/>
              <w:spacing w:before="60" w:after="180" w:line="280" w:lineRule="atLeast"/>
              <w:jc w:val="center"/>
              <w:textAlignment w:val="auto"/>
              <w:rPr>
                <w:rFonts w:ascii="Arial" w:hAnsi="Arial"/>
                <w:b/>
              </w:rPr>
            </w:pPr>
            <w:r w:rsidRPr="00BD769D">
              <w:rPr>
                <w:rFonts w:ascii="Arial" w:hAnsi="Arial"/>
                <w:b/>
              </w:rPr>
              <w:t>Table C.</w:t>
            </w:r>
            <w:r w:rsidRPr="00BD769D">
              <w:rPr>
                <w:rFonts w:ascii="Arial" w:hAnsi="Arial" w:hint="eastAsia"/>
                <w:b/>
              </w:rPr>
              <w:t>3</w:t>
            </w:r>
            <w:r w:rsidRPr="00BD769D">
              <w:rPr>
                <w:rFonts w:ascii="Arial" w:hAnsi="Arial"/>
                <w:b/>
              </w:rPr>
              <w:t>.1-1: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BD769D" w:rsidRPr="00BD769D" w14:paraId="5784CE17" w14:textId="77777777" w:rsidTr="0004154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5BFD3" w14:textId="77777777" w:rsidR="00BD769D" w:rsidRPr="00BD769D" w:rsidRDefault="00BD769D" w:rsidP="00BD769D">
                  <w:pPr>
                    <w:keepNext/>
                    <w:keepLines/>
                    <w:overflowPunct/>
                    <w:autoSpaceDE/>
                    <w:autoSpaceDN/>
                    <w:adjustRightInd/>
                    <w:spacing w:before="0" w:after="0"/>
                    <w:jc w:val="center"/>
                    <w:textAlignment w:val="auto"/>
                    <w:rPr>
                      <w:rFonts w:ascii="Arial" w:hAnsi="Arial"/>
                      <w:b/>
                      <w:sz w:val="18"/>
                      <w:lang w:eastAsia="ja-JP"/>
                    </w:rPr>
                  </w:pPr>
                  <w:r w:rsidRPr="00BD769D">
                    <w:rPr>
                      <w:rFonts w:ascii="Arial" w:hAnsi="Arial"/>
                      <w:b/>
                      <w:sz w:val="18"/>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CCB89" w14:textId="77777777" w:rsidR="00BD769D" w:rsidRPr="00BD769D" w:rsidRDefault="00BD769D" w:rsidP="00BD769D">
                  <w:pPr>
                    <w:keepNext/>
                    <w:keepLines/>
                    <w:overflowPunct/>
                    <w:autoSpaceDE/>
                    <w:autoSpaceDN/>
                    <w:adjustRightInd/>
                    <w:spacing w:before="0" w:after="0"/>
                    <w:jc w:val="center"/>
                    <w:textAlignment w:val="auto"/>
                    <w:rPr>
                      <w:rFonts w:ascii="Arial" w:hAnsi="Arial"/>
                      <w:b/>
                      <w:sz w:val="18"/>
                      <w:lang w:eastAsia="ja-JP"/>
                    </w:rPr>
                  </w:pPr>
                  <w:r w:rsidRPr="00BD769D">
                    <w:rPr>
                      <w:rFonts w:ascii="Arial" w:hAnsi="Arial"/>
                      <w:b/>
                      <w:sz w:val="18"/>
                      <w:lang w:eastAsia="ja-JP"/>
                    </w:rPr>
                    <w:t>Unit</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3988FDFE" w14:textId="77777777" w:rsidR="00BD769D" w:rsidRPr="00BD769D" w:rsidRDefault="00BD769D" w:rsidP="00BD769D">
                  <w:pPr>
                    <w:keepNext/>
                    <w:keepLines/>
                    <w:overflowPunct/>
                    <w:autoSpaceDE/>
                    <w:autoSpaceDN/>
                    <w:adjustRightInd/>
                    <w:spacing w:before="0" w:after="0"/>
                    <w:jc w:val="center"/>
                    <w:textAlignment w:val="auto"/>
                    <w:rPr>
                      <w:rFonts w:ascii="Arial" w:hAnsi="Arial"/>
                      <w:b/>
                      <w:sz w:val="18"/>
                      <w:lang w:eastAsia="ja-JP"/>
                    </w:rPr>
                  </w:pPr>
                  <w:r w:rsidRPr="00BD769D">
                    <w:rPr>
                      <w:rFonts w:ascii="Arial" w:hAnsi="Arial"/>
                      <w:b/>
                      <w:sz w:val="18"/>
                      <w:lang w:eastAsia="ja-JP"/>
                    </w:rPr>
                    <w:t>Value</w:t>
                  </w:r>
                </w:p>
              </w:tc>
            </w:tr>
            <w:tr w:rsidR="00BD769D" w:rsidRPr="00BD769D" w14:paraId="72BCF6A6" w14:textId="77777777" w:rsidTr="0004154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339E0" w14:textId="77777777" w:rsidR="00BD769D" w:rsidRPr="00BD769D" w:rsidRDefault="00BD769D" w:rsidP="00BD769D">
                  <w:pPr>
                    <w:keepNext/>
                    <w:keepLines/>
                    <w:overflowPunct/>
                    <w:autoSpaceDE/>
                    <w:autoSpaceDN/>
                    <w:adjustRightInd/>
                    <w:spacing w:before="0" w:after="0"/>
                    <w:textAlignment w:val="auto"/>
                    <w:rPr>
                      <w:rFonts w:ascii="Arial" w:hAnsi="Arial"/>
                      <w:sz w:val="18"/>
                      <w:lang w:eastAsia="ja-JP"/>
                    </w:rPr>
                  </w:pPr>
                  <w:r w:rsidRPr="00BD769D">
                    <w:rPr>
                      <w:rFonts w:ascii="Arial" w:hAnsi="Arial"/>
                      <w:sz w:val="18"/>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000F8" w14:textId="77777777" w:rsidR="00BD769D" w:rsidRPr="00BD769D" w:rsidRDefault="00BD769D" w:rsidP="00BD769D">
                  <w:pPr>
                    <w:keepNext/>
                    <w:keepLines/>
                    <w:overflowPunct/>
                    <w:autoSpaceDE/>
                    <w:autoSpaceDN/>
                    <w:adjustRightInd/>
                    <w:spacing w:before="0" w:after="0"/>
                    <w:jc w:val="center"/>
                    <w:textAlignment w:val="auto"/>
                    <w:rPr>
                      <w:rFonts w:ascii="Arial" w:hAnsi="Arial"/>
                      <w:sz w:val="18"/>
                      <w:lang w:eastAsia="ja-JP"/>
                    </w:rPr>
                  </w:pPr>
                  <w:r w:rsidRPr="00BD769D">
                    <w:rPr>
                      <w:rFonts w:ascii="Arial" w:hAnsi="Arial"/>
                      <w:sz w:val="18"/>
                      <w:lang w:eastAsia="ja-JP"/>
                    </w:rPr>
                    <w:t>W</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0A20595" w14:textId="77777777" w:rsidR="00BD769D" w:rsidRPr="00BD769D" w:rsidRDefault="00BD769D" w:rsidP="00BD769D">
                  <w:pPr>
                    <w:keepNext/>
                    <w:keepLines/>
                    <w:overflowPunct/>
                    <w:autoSpaceDE/>
                    <w:autoSpaceDN/>
                    <w:adjustRightInd/>
                    <w:spacing w:before="0" w:after="0"/>
                    <w:jc w:val="center"/>
                    <w:textAlignment w:val="auto"/>
                    <w:rPr>
                      <w:rFonts w:ascii="Arial" w:hAnsi="Arial"/>
                      <w:sz w:val="18"/>
                      <w:lang w:eastAsia="ja-JP"/>
                    </w:rPr>
                  </w:pPr>
                  <w:r w:rsidRPr="00BD769D">
                    <w:rPr>
                      <w:rFonts w:ascii="Arial" w:hAnsi="Arial"/>
                      <w:sz w:val="18"/>
                      <w:lang w:eastAsia="ja-JP"/>
                    </w:rPr>
                    <w:t>Test specific</w:t>
                  </w:r>
                </w:p>
              </w:tc>
            </w:tr>
            <w:tr w:rsidR="00BD769D" w:rsidRPr="00BD769D" w14:paraId="00BF471A" w14:textId="77777777" w:rsidTr="0004154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F301F" w14:textId="77777777" w:rsidR="00BD769D" w:rsidRPr="00BD769D" w:rsidRDefault="00BD769D" w:rsidP="00BD769D">
                  <w:pPr>
                    <w:keepNext/>
                    <w:keepLines/>
                    <w:overflowPunct/>
                    <w:autoSpaceDE/>
                    <w:autoSpaceDN/>
                    <w:adjustRightInd/>
                    <w:spacing w:before="0" w:after="0"/>
                    <w:textAlignment w:val="auto"/>
                    <w:rPr>
                      <w:rFonts w:ascii="Arial" w:hAnsi="Arial"/>
                      <w:sz w:val="18"/>
                      <w:lang w:eastAsia="ja-JP"/>
                    </w:rPr>
                  </w:pPr>
                  <w:r w:rsidRPr="00BD769D">
                    <w:rPr>
                      <w:rFonts w:ascii="Arial" w:hAnsi="Arial"/>
                      <w:sz w:val="18"/>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5EBCE" w14:textId="77777777" w:rsidR="00BD769D" w:rsidRPr="00BD769D" w:rsidRDefault="00BD769D" w:rsidP="00BD769D">
                  <w:pPr>
                    <w:keepNext/>
                    <w:keepLines/>
                    <w:overflowPunct/>
                    <w:autoSpaceDE/>
                    <w:autoSpaceDN/>
                    <w:adjustRightInd/>
                    <w:spacing w:before="0" w:after="0"/>
                    <w:jc w:val="center"/>
                    <w:textAlignment w:val="auto"/>
                    <w:rPr>
                      <w:rFonts w:ascii="Arial" w:hAnsi="Arial"/>
                      <w:sz w:val="18"/>
                      <w:lang w:eastAsia="ja-JP"/>
                    </w:rPr>
                  </w:pPr>
                  <w:r w:rsidRPr="00BD769D">
                    <w:rPr>
                      <w:rFonts w:ascii="Arial"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3640FCF" w14:textId="77777777" w:rsidR="00BD769D" w:rsidRPr="00BD769D" w:rsidRDefault="00BD769D" w:rsidP="00BD769D">
                  <w:pPr>
                    <w:keepNext/>
                    <w:keepLines/>
                    <w:overflowPunct/>
                    <w:autoSpaceDE/>
                    <w:autoSpaceDN/>
                    <w:adjustRightInd/>
                    <w:spacing w:before="0" w:after="0"/>
                    <w:jc w:val="center"/>
                    <w:textAlignment w:val="auto"/>
                    <w:rPr>
                      <w:rFonts w:ascii="Arial" w:hAnsi="Arial"/>
                      <w:sz w:val="18"/>
                      <w:lang w:eastAsia="ja-JP"/>
                    </w:rPr>
                  </w:pPr>
                  <w:r w:rsidRPr="00BD769D">
                    <w:rPr>
                      <w:rFonts w:ascii="Arial" w:hAnsi="Arial"/>
                      <w:sz w:val="18"/>
                      <w:lang w:eastAsia="ja-JP"/>
                    </w:rPr>
                    <w:t>0</w:t>
                  </w:r>
                </w:p>
              </w:tc>
            </w:tr>
            <w:tr w:rsidR="00BD769D" w:rsidRPr="00BD769D" w14:paraId="26C54734" w14:textId="77777777" w:rsidTr="0004154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76E30" w14:textId="77777777" w:rsidR="00BD769D" w:rsidRPr="00BD769D" w:rsidRDefault="00BD769D" w:rsidP="00BD769D">
                  <w:pPr>
                    <w:keepNext/>
                    <w:keepLines/>
                    <w:overflowPunct/>
                    <w:autoSpaceDE/>
                    <w:autoSpaceDN/>
                    <w:adjustRightInd/>
                    <w:spacing w:before="0" w:after="0"/>
                    <w:textAlignment w:val="auto"/>
                    <w:rPr>
                      <w:rFonts w:ascii="Arial" w:hAnsi="Arial"/>
                      <w:sz w:val="18"/>
                      <w:lang w:eastAsia="ja-JP"/>
                    </w:rPr>
                  </w:pPr>
                  <w:r w:rsidRPr="00BD769D">
                    <w:rPr>
                      <w:rFonts w:ascii="Arial" w:hAnsi="Arial"/>
                      <w:sz w:val="18"/>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AF4B1" w14:textId="77777777" w:rsidR="00BD769D" w:rsidRPr="00BD769D" w:rsidRDefault="00BD769D" w:rsidP="00BD769D">
                  <w:pPr>
                    <w:keepNext/>
                    <w:keepLines/>
                    <w:overflowPunct/>
                    <w:autoSpaceDE/>
                    <w:autoSpaceDN/>
                    <w:adjustRightInd/>
                    <w:spacing w:before="0" w:after="0"/>
                    <w:jc w:val="center"/>
                    <w:textAlignment w:val="auto"/>
                    <w:rPr>
                      <w:rFonts w:ascii="Arial" w:hAnsi="Arial"/>
                      <w:sz w:val="18"/>
                      <w:lang w:eastAsia="ja-JP"/>
                    </w:rPr>
                  </w:pPr>
                  <w:r w:rsidRPr="00BD769D">
                    <w:rPr>
                      <w:rFonts w:ascii="Arial"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6B9F3A9" w14:textId="77777777" w:rsidR="00BD769D" w:rsidRPr="00BD769D" w:rsidRDefault="00BD769D" w:rsidP="00BD769D">
                  <w:pPr>
                    <w:keepNext/>
                    <w:keepLines/>
                    <w:overflowPunct/>
                    <w:autoSpaceDE/>
                    <w:autoSpaceDN/>
                    <w:adjustRightInd/>
                    <w:spacing w:before="0" w:after="0"/>
                    <w:jc w:val="center"/>
                    <w:textAlignment w:val="auto"/>
                    <w:rPr>
                      <w:rFonts w:ascii="Arial" w:hAnsi="Arial"/>
                      <w:sz w:val="18"/>
                      <w:lang w:eastAsia="ja-JP"/>
                    </w:rPr>
                  </w:pPr>
                  <w:r w:rsidRPr="00BD769D">
                    <w:rPr>
                      <w:rFonts w:ascii="Arial" w:hAnsi="Arial"/>
                      <w:sz w:val="18"/>
                      <w:lang w:eastAsia="ja-JP"/>
                    </w:rPr>
                    <w:t>0</w:t>
                  </w:r>
                </w:p>
              </w:tc>
            </w:tr>
            <w:tr w:rsidR="00BD769D" w:rsidRPr="00BD769D" w14:paraId="6F32BAEA" w14:textId="77777777" w:rsidTr="0004154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96131" w14:textId="77777777" w:rsidR="00BD769D" w:rsidRPr="00BD769D" w:rsidRDefault="00BD769D" w:rsidP="00BD769D">
                  <w:pPr>
                    <w:keepNext/>
                    <w:keepLines/>
                    <w:overflowPunct/>
                    <w:autoSpaceDE/>
                    <w:autoSpaceDN/>
                    <w:adjustRightInd/>
                    <w:spacing w:before="0" w:after="0"/>
                    <w:textAlignment w:val="auto"/>
                    <w:rPr>
                      <w:rFonts w:ascii="Arial" w:hAnsi="Arial"/>
                      <w:sz w:val="18"/>
                      <w:lang w:eastAsia="ja-JP"/>
                    </w:rPr>
                  </w:pPr>
                  <w:r w:rsidRPr="00BD769D">
                    <w:rPr>
                      <w:rFonts w:ascii="Arial" w:hAnsi="Arial"/>
                      <w:sz w:val="18"/>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283B3" w14:textId="77777777" w:rsidR="00BD769D" w:rsidRPr="00BD769D" w:rsidRDefault="00BD769D" w:rsidP="00BD769D">
                  <w:pPr>
                    <w:keepNext/>
                    <w:keepLines/>
                    <w:overflowPunct/>
                    <w:autoSpaceDE/>
                    <w:autoSpaceDN/>
                    <w:adjustRightInd/>
                    <w:spacing w:before="0" w:after="0"/>
                    <w:jc w:val="center"/>
                    <w:textAlignment w:val="auto"/>
                    <w:rPr>
                      <w:rFonts w:ascii="Arial" w:hAnsi="Arial"/>
                      <w:sz w:val="18"/>
                      <w:lang w:eastAsia="ja-JP"/>
                    </w:rPr>
                  </w:pPr>
                  <w:r w:rsidRPr="00BD769D">
                    <w:rPr>
                      <w:rFonts w:ascii="Arial"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3A2316E9" w14:textId="77777777" w:rsidR="00BD769D" w:rsidRPr="00BD769D" w:rsidRDefault="00BD769D" w:rsidP="00BD769D">
                  <w:pPr>
                    <w:keepNext/>
                    <w:keepLines/>
                    <w:overflowPunct/>
                    <w:autoSpaceDE/>
                    <w:autoSpaceDN/>
                    <w:adjustRightInd/>
                    <w:spacing w:before="0" w:after="0"/>
                    <w:jc w:val="center"/>
                    <w:textAlignment w:val="auto"/>
                    <w:rPr>
                      <w:rFonts w:ascii="Arial" w:hAnsi="Arial"/>
                      <w:sz w:val="18"/>
                      <w:lang w:eastAsia="ja-JP"/>
                    </w:rPr>
                  </w:pPr>
                  <w:r w:rsidRPr="00BD769D">
                    <w:rPr>
                      <w:rFonts w:ascii="Arial" w:hAnsi="Arial"/>
                      <w:sz w:val="18"/>
                      <w:lang w:eastAsia="ja-JP"/>
                    </w:rPr>
                    <w:t>0</w:t>
                  </w:r>
                </w:p>
              </w:tc>
            </w:tr>
            <w:tr w:rsidR="00BD769D" w:rsidRPr="00BD769D" w14:paraId="53566B8E" w14:textId="77777777" w:rsidTr="0004154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98DC9" w14:textId="77777777" w:rsidR="00BD769D" w:rsidRPr="00BD769D" w:rsidRDefault="00BD769D" w:rsidP="00BD769D">
                  <w:pPr>
                    <w:keepNext/>
                    <w:keepLines/>
                    <w:overflowPunct/>
                    <w:autoSpaceDE/>
                    <w:autoSpaceDN/>
                    <w:adjustRightInd/>
                    <w:spacing w:before="0" w:after="0"/>
                    <w:textAlignment w:val="auto"/>
                    <w:rPr>
                      <w:rFonts w:ascii="Arial" w:hAnsi="Arial"/>
                      <w:sz w:val="18"/>
                      <w:lang w:eastAsia="ja-JP"/>
                    </w:rPr>
                  </w:pPr>
                  <w:r w:rsidRPr="00BD769D">
                    <w:rPr>
                      <w:rFonts w:ascii="Arial" w:hAnsi="Arial"/>
                      <w:sz w:val="18"/>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1055A" w14:textId="77777777" w:rsidR="00BD769D" w:rsidRPr="00BD769D" w:rsidRDefault="00BD769D" w:rsidP="00BD769D">
                  <w:pPr>
                    <w:keepNext/>
                    <w:keepLines/>
                    <w:overflowPunct/>
                    <w:autoSpaceDE/>
                    <w:autoSpaceDN/>
                    <w:adjustRightInd/>
                    <w:spacing w:before="0" w:after="0"/>
                    <w:jc w:val="center"/>
                    <w:textAlignment w:val="auto"/>
                    <w:rPr>
                      <w:rFonts w:ascii="Arial" w:hAnsi="Arial"/>
                      <w:sz w:val="18"/>
                      <w:lang w:eastAsia="ja-JP"/>
                    </w:rPr>
                  </w:pPr>
                  <w:r w:rsidRPr="00BD769D">
                    <w:rPr>
                      <w:rFonts w:ascii="Arial"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9372369" w14:textId="77777777" w:rsidR="00BD769D" w:rsidRPr="00BD769D" w:rsidRDefault="00BD769D" w:rsidP="00BD769D">
                  <w:pPr>
                    <w:keepNext/>
                    <w:keepLines/>
                    <w:overflowPunct/>
                    <w:autoSpaceDE/>
                    <w:autoSpaceDN/>
                    <w:adjustRightInd/>
                    <w:spacing w:before="0" w:after="0"/>
                    <w:jc w:val="center"/>
                    <w:textAlignment w:val="auto"/>
                    <w:rPr>
                      <w:rFonts w:ascii="Arial" w:hAnsi="Arial"/>
                      <w:sz w:val="18"/>
                      <w:lang w:eastAsia="ja-JP"/>
                    </w:rPr>
                  </w:pPr>
                  <w:r w:rsidRPr="00BD769D">
                    <w:rPr>
                      <w:rFonts w:ascii="Arial" w:hAnsi="Arial"/>
                      <w:sz w:val="18"/>
                      <w:lang w:eastAsia="ja-JP"/>
                    </w:rPr>
                    <w:t>0</w:t>
                  </w:r>
                </w:p>
              </w:tc>
            </w:tr>
            <w:tr w:rsidR="00BD769D" w:rsidRPr="00BD769D" w14:paraId="33E61B30" w14:textId="77777777" w:rsidTr="0004154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8FC88" w14:textId="77777777" w:rsidR="00BD769D" w:rsidRPr="00BD769D" w:rsidRDefault="00BD769D" w:rsidP="00BD769D">
                  <w:pPr>
                    <w:keepNext/>
                    <w:keepLines/>
                    <w:overflowPunct/>
                    <w:autoSpaceDE/>
                    <w:autoSpaceDN/>
                    <w:adjustRightInd/>
                    <w:spacing w:before="0" w:after="0"/>
                    <w:textAlignment w:val="auto"/>
                    <w:rPr>
                      <w:rFonts w:ascii="Arial" w:hAnsi="Arial"/>
                      <w:sz w:val="18"/>
                      <w:lang w:eastAsia="ja-JP"/>
                    </w:rPr>
                  </w:pPr>
                  <w:r w:rsidRPr="00BD769D">
                    <w:rPr>
                      <w:rFonts w:ascii="Arial" w:hAnsi="Arial"/>
                      <w:sz w:val="18"/>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CADFF" w14:textId="77777777" w:rsidR="00BD769D" w:rsidRPr="00BD769D" w:rsidRDefault="00BD769D" w:rsidP="00BD769D">
                  <w:pPr>
                    <w:keepNext/>
                    <w:keepLines/>
                    <w:overflowPunct/>
                    <w:autoSpaceDE/>
                    <w:autoSpaceDN/>
                    <w:adjustRightInd/>
                    <w:spacing w:before="0" w:after="0"/>
                    <w:jc w:val="center"/>
                    <w:textAlignment w:val="auto"/>
                    <w:rPr>
                      <w:rFonts w:ascii="Arial" w:hAnsi="Arial"/>
                      <w:sz w:val="18"/>
                      <w:lang w:eastAsia="ja-JP"/>
                    </w:rPr>
                  </w:pPr>
                  <w:r w:rsidRPr="00BD769D">
                    <w:rPr>
                      <w:rFonts w:ascii="Arial"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69BD924" w14:textId="77777777" w:rsidR="00BD769D" w:rsidRPr="00BD769D" w:rsidRDefault="00BD769D" w:rsidP="00BD769D">
                  <w:pPr>
                    <w:keepNext/>
                    <w:keepLines/>
                    <w:overflowPunct/>
                    <w:autoSpaceDE/>
                    <w:autoSpaceDN/>
                    <w:adjustRightInd/>
                    <w:spacing w:before="0" w:after="0"/>
                    <w:jc w:val="center"/>
                    <w:textAlignment w:val="auto"/>
                    <w:rPr>
                      <w:rFonts w:ascii="Arial" w:hAnsi="Arial"/>
                      <w:sz w:val="18"/>
                      <w:lang w:eastAsia="ja-JP"/>
                    </w:rPr>
                  </w:pPr>
                  <w:r w:rsidRPr="00BD769D">
                    <w:rPr>
                      <w:rFonts w:ascii="Arial" w:hAnsi="Arial"/>
                      <w:sz w:val="18"/>
                      <w:lang w:eastAsia="ja-JP"/>
                    </w:rPr>
                    <w:t>0</w:t>
                  </w:r>
                </w:p>
              </w:tc>
            </w:tr>
            <w:tr w:rsidR="00BD769D" w:rsidRPr="00BD769D" w14:paraId="0EFFB959" w14:textId="77777777" w:rsidTr="0004154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DC380" w14:textId="77777777" w:rsidR="00BD769D" w:rsidRPr="00BD769D" w:rsidRDefault="00BD769D" w:rsidP="00BD769D">
                  <w:pPr>
                    <w:keepNext/>
                    <w:keepLines/>
                    <w:overflowPunct/>
                    <w:autoSpaceDE/>
                    <w:autoSpaceDN/>
                    <w:adjustRightInd/>
                    <w:spacing w:before="0" w:after="0"/>
                    <w:textAlignment w:val="auto"/>
                    <w:rPr>
                      <w:rFonts w:ascii="Arial" w:hAnsi="Arial"/>
                      <w:sz w:val="18"/>
                      <w:lang w:eastAsia="ja-JP"/>
                    </w:rPr>
                  </w:pPr>
                  <w:r w:rsidRPr="00BD769D">
                    <w:rPr>
                      <w:rFonts w:ascii="Arial" w:hAnsi="Arial"/>
                      <w:sz w:val="18"/>
                      <w:lang w:eastAsia="ja-JP"/>
                    </w:rPr>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1CEC8" w14:textId="77777777" w:rsidR="00BD769D" w:rsidRPr="00BD769D" w:rsidRDefault="00BD769D" w:rsidP="00BD769D">
                  <w:pPr>
                    <w:keepNext/>
                    <w:keepLines/>
                    <w:overflowPunct/>
                    <w:autoSpaceDE/>
                    <w:autoSpaceDN/>
                    <w:adjustRightInd/>
                    <w:spacing w:before="0" w:after="0"/>
                    <w:jc w:val="center"/>
                    <w:textAlignment w:val="auto"/>
                    <w:rPr>
                      <w:rFonts w:ascii="Arial" w:hAnsi="Arial"/>
                      <w:sz w:val="18"/>
                      <w:lang w:eastAsia="ja-JP"/>
                    </w:rPr>
                  </w:pPr>
                  <w:r w:rsidRPr="00BD769D">
                    <w:rPr>
                      <w:rFonts w:ascii="Arial"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7D69ADC" w14:textId="77777777" w:rsidR="00BD769D" w:rsidRPr="00BD769D" w:rsidRDefault="00BD769D" w:rsidP="00BD769D">
                  <w:pPr>
                    <w:keepNext/>
                    <w:keepLines/>
                    <w:overflowPunct/>
                    <w:autoSpaceDE/>
                    <w:autoSpaceDN/>
                    <w:adjustRightInd/>
                    <w:spacing w:before="0" w:after="0"/>
                    <w:jc w:val="center"/>
                    <w:textAlignment w:val="auto"/>
                    <w:rPr>
                      <w:rFonts w:ascii="Arial" w:hAnsi="Arial"/>
                      <w:sz w:val="18"/>
                      <w:lang w:eastAsia="zh-CN"/>
                    </w:rPr>
                  </w:pPr>
                  <w:r w:rsidRPr="00BD769D">
                    <w:rPr>
                      <w:rFonts w:ascii="Arial" w:hAnsi="Arial" w:hint="eastAsia"/>
                      <w:sz w:val="18"/>
                      <w:lang w:eastAsia="zh-CN"/>
                    </w:rPr>
                    <w:t>0</w:t>
                  </w:r>
                </w:p>
              </w:tc>
            </w:tr>
            <w:tr w:rsidR="00BD769D" w:rsidRPr="00BD769D" w14:paraId="4F71A5AE" w14:textId="77777777" w:rsidTr="0004154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6537E" w14:textId="77777777" w:rsidR="00BD769D" w:rsidRPr="00BD769D" w:rsidRDefault="00BD769D" w:rsidP="00BD769D">
                  <w:pPr>
                    <w:keepNext/>
                    <w:keepLines/>
                    <w:overflowPunct/>
                    <w:autoSpaceDE/>
                    <w:autoSpaceDN/>
                    <w:adjustRightInd/>
                    <w:spacing w:before="0" w:after="0"/>
                    <w:textAlignment w:val="auto"/>
                    <w:rPr>
                      <w:rFonts w:ascii="Arial" w:hAnsi="Arial"/>
                      <w:sz w:val="18"/>
                      <w:lang w:eastAsia="ja-JP"/>
                    </w:rPr>
                  </w:pPr>
                  <w:r w:rsidRPr="00BD769D">
                    <w:rPr>
                      <w:rFonts w:ascii="Arial" w:hAnsi="Arial"/>
                      <w:sz w:val="18"/>
                      <w:lang w:eastAsia="ja-JP"/>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DB92D" w14:textId="77777777" w:rsidR="00BD769D" w:rsidRPr="00BD769D" w:rsidRDefault="00BD769D" w:rsidP="00BD769D">
                  <w:pPr>
                    <w:keepNext/>
                    <w:keepLines/>
                    <w:overflowPunct/>
                    <w:autoSpaceDE/>
                    <w:autoSpaceDN/>
                    <w:adjustRightInd/>
                    <w:spacing w:before="0" w:after="0"/>
                    <w:jc w:val="center"/>
                    <w:textAlignment w:val="auto"/>
                    <w:rPr>
                      <w:rFonts w:ascii="Arial" w:hAnsi="Arial"/>
                      <w:sz w:val="18"/>
                      <w:lang w:eastAsia="ja-JP"/>
                    </w:rPr>
                  </w:pPr>
                  <w:r w:rsidRPr="00BD769D">
                    <w:rPr>
                      <w:rFonts w:ascii="Arial"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2565DA3A" w14:textId="77777777" w:rsidR="00BD769D" w:rsidRPr="00BD769D" w:rsidRDefault="00BD769D" w:rsidP="00BD769D">
                  <w:pPr>
                    <w:keepNext/>
                    <w:keepLines/>
                    <w:overflowPunct/>
                    <w:autoSpaceDE/>
                    <w:autoSpaceDN/>
                    <w:adjustRightInd/>
                    <w:spacing w:before="0" w:after="0"/>
                    <w:jc w:val="center"/>
                    <w:textAlignment w:val="auto"/>
                    <w:rPr>
                      <w:rFonts w:ascii="Arial" w:hAnsi="Arial"/>
                      <w:sz w:val="18"/>
                      <w:lang w:eastAsia="zh-CN"/>
                    </w:rPr>
                  </w:pPr>
                  <w:r w:rsidRPr="00BD769D">
                    <w:rPr>
                      <w:rFonts w:ascii="Arial" w:hAnsi="Arial"/>
                      <w:sz w:val="18"/>
                      <w:lang w:eastAsia="zh-CN"/>
                    </w:rPr>
                    <w:t>Test specific (Note 1)</w:t>
                  </w:r>
                </w:p>
              </w:tc>
            </w:tr>
            <w:tr w:rsidR="00BD769D" w:rsidRPr="00BD769D" w14:paraId="220C7B89" w14:textId="77777777" w:rsidTr="0004154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DF068" w14:textId="77777777" w:rsidR="00BD769D" w:rsidRPr="00BD769D" w:rsidRDefault="00BD769D" w:rsidP="00BD769D">
                  <w:pPr>
                    <w:keepNext/>
                    <w:keepLines/>
                    <w:overflowPunct/>
                    <w:autoSpaceDE/>
                    <w:autoSpaceDN/>
                    <w:adjustRightInd/>
                    <w:spacing w:before="0" w:after="0"/>
                    <w:textAlignment w:val="auto"/>
                    <w:rPr>
                      <w:rFonts w:ascii="Arial" w:hAnsi="Arial"/>
                      <w:sz w:val="18"/>
                      <w:lang w:eastAsia="ja-JP"/>
                    </w:rPr>
                  </w:pPr>
                  <w:r w:rsidRPr="00BD769D">
                    <w:rPr>
                      <w:rFonts w:ascii="Arial" w:hAnsi="Arial"/>
                      <w:sz w:val="18"/>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CAAB6" w14:textId="77777777" w:rsidR="00BD769D" w:rsidRPr="00BD769D" w:rsidRDefault="00BD769D" w:rsidP="00BD769D">
                  <w:pPr>
                    <w:keepNext/>
                    <w:keepLines/>
                    <w:overflowPunct/>
                    <w:autoSpaceDE/>
                    <w:autoSpaceDN/>
                    <w:adjustRightInd/>
                    <w:spacing w:before="0" w:after="0"/>
                    <w:jc w:val="center"/>
                    <w:textAlignment w:val="auto"/>
                    <w:rPr>
                      <w:rFonts w:ascii="Arial" w:hAnsi="Arial"/>
                      <w:sz w:val="18"/>
                      <w:lang w:eastAsia="ja-JP"/>
                    </w:rPr>
                  </w:pPr>
                  <w:r w:rsidRPr="00BD769D">
                    <w:rPr>
                      <w:rFonts w:ascii="Arial"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09DD54B" w14:textId="77777777" w:rsidR="00BD769D" w:rsidRPr="00BD769D" w:rsidRDefault="00BD769D" w:rsidP="00BD769D">
                  <w:pPr>
                    <w:keepNext/>
                    <w:keepLines/>
                    <w:overflowPunct/>
                    <w:autoSpaceDE/>
                    <w:autoSpaceDN/>
                    <w:adjustRightInd/>
                    <w:spacing w:before="0" w:after="0"/>
                    <w:jc w:val="center"/>
                    <w:textAlignment w:val="auto"/>
                    <w:rPr>
                      <w:rFonts w:ascii="Arial" w:hAnsi="Arial"/>
                      <w:sz w:val="18"/>
                      <w:lang w:eastAsia="ja-JP"/>
                    </w:rPr>
                  </w:pPr>
                  <w:r w:rsidRPr="00BD769D">
                    <w:rPr>
                      <w:rFonts w:ascii="Arial" w:hAnsi="Arial"/>
                      <w:sz w:val="18"/>
                      <w:lang w:eastAsia="ja-JP"/>
                    </w:rPr>
                    <w:t>0</w:t>
                  </w:r>
                </w:p>
              </w:tc>
            </w:tr>
            <w:tr w:rsidR="00BD769D" w:rsidRPr="00BD769D" w14:paraId="3F79E5A2" w14:textId="77777777" w:rsidTr="0004154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BEFB7" w14:textId="77777777" w:rsidR="00BD769D" w:rsidRPr="00BD769D" w:rsidRDefault="00BD769D" w:rsidP="00BD769D">
                  <w:pPr>
                    <w:keepNext/>
                    <w:keepLines/>
                    <w:overflowPunct/>
                    <w:autoSpaceDE/>
                    <w:autoSpaceDN/>
                    <w:adjustRightInd/>
                    <w:spacing w:before="0" w:after="0"/>
                    <w:textAlignment w:val="auto"/>
                    <w:rPr>
                      <w:rFonts w:ascii="Arial" w:hAnsi="Arial"/>
                      <w:sz w:val="18"/>
                      <w:lang w:val="en-US" w:eastAsia="ja-JP"/>
                    </w:rPr>
                  </w:pPr>
                  <w:r w:rsidRPr="00BD769D">
                    <w:rPr>
                      <w:rFonts w:ascii="Arial" w:hAnsi="Arial"/>
                      <w:sz w:val="18"/>
                      <w:lang w:eastAsia="ja-JP"/>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81B1F" w14:textId="77777777" w:rsidR="00BD769D" w:rsidRPr="00BD769D" w:rsidRDefault="00BD769D" w:rsidP="00BD769D">
                  <w:pPr>
                    <w:keepNext/>
                    <w:keepLines/>
                    <w:overflowPunct/>
                    <w:autoSpaceDE/>
                    <w:autoSpaceDN/>
                    <w:adjustRightInd/>
                    <w:spacing w:before="0" w:after="0"/>
                    <w:jc w:val="center"/>
                    <w:textAlignment w:val="auto"/>
                    <w:rPr>
                      <w:rFonts w:ascii="Arial" w:hAnsi="Arial"/>
                      <w:sz w:val="18"/>
                      <w:lang w:eastAsia="ja-JP"/>
                    </w:rPr>
                  </w:pPr>
                  <w:r w:rsidRPr="00BD769D">
                    <w:rPr>
                      <w:rFonts w:ascii="Arial"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8152D5B" w14:textId="77777777" w:rsidR="00BD769D" w:rsidRPr="00BD769D" w:rsidRDefault="00BD769D" w:rsidP="00BD769D">
                  <w:pPr>
                    <w:keepNext/>
                    <w:keepLines/>
                    <w:overflowPunct/>
                    <w:autoSpaceDE/>
                    <w:autoSpaceDN/>
                    <w:adjustRightInd/>
                    <w:spacing w:before="0" w:after="0"/>
                    <w:jc w:val="center"/>
                    <w:textAlignment w:val="auto"/>
                    <w:rPr>
                      <w:rFonts w:ascii="Arial" w:hAnsi="Arial"/>
                      <w:sz w:val="18"/>
                      <w:lang w:eastAsia="ja-JP"/>
                    </w:rPr>
                  </w:pPr>
                  <w:r w:rsidRPr="00BD769D">
                    <w:rPr>
                      <w:rFonts w:ascii="Arial" w:hAnsi="Arial"/>
                      <w:sz w:val="18"/>
                      <w:lang w:eastAsia="ja-JP"/>
                    </w:rPr>
                    <w:t>0</w:t>
                  </w:r>
                </w:p>
              </w:tc>
            </w:tr>
            <w:tr w:rsidR="00BD769D" w:rsidRPr="00BD769D" w14:paraId="29C52980" w14:textId="77777777" w:rsidTr="0004154E">
              <w:trPr>
                <w:jc w:val="center"/>
              </w:trPr>
              <w:tc>
                <w:tcPr>
                  <w:tcW w:w="8311" w:type="dxa"/>
                  <w:gridSpan w:val="3"/>
                  <w:tcBorders>
                    <w:top w:val="single" w:sz="4" w:space="0" w:color="auto"/>
                    <w:left w:val="single" w:sz="4" w:space="0" w:color="auto"/>
                    <w:bottom w:val="single" w:sz="4" w:space="0" w:color="auto"/>
                    <w:right w:val="single" w:sz="4" w:space="0" w:color="auto"/>
                  </w:tcBorders>
                  <w:shd w:val="clear" w:color="auto" w:fill="auto"/>
                </w:tcPr>
                <w:p w14:paraId="426B4F11" w14:textId="77777777" w:rsidR="00BD769D" w:rsidRPr="00BD769D" w:rsidRDefault="00BD769D" w:rsidP="00BD769D">
                  <w:pPr>
                    <w:keepNext/>
                    <w:keepLines/>
                    <w:overflowPunct/>
                    <w:autoSpaceDE/>
                    <w:autoSpaceDN/>
                    <w:adjustRightInd/>
                    <w:spacing w:before="0" w:after="0"/>
                    <w:ind w:left="851" w:hanging="851"/>
                    <w:textAlignment w:val="auto"/>
                    <w:rPr>
                      <w:rFonts w:ascii="Arial" w:hAnsi="Arial"/>
                      <w:sz w:val="18"/>
                      <w:lang w:eastAsia="ja-JP"/>
                    </w:rPr>
                  </w:pPr>
                  <w:r w:rsidRPr="00BD769D">
                    <w:rPr>
                      <w:rFonts w:ascii="Arial" w:hAnsi="Arial"/>
                      <w:sz w:val="18"/>
                    </w:rPr>
                    <w:t>Note 1:</w:t>
                  </w:r>
                  <w:r w:rsidRPr="00BD769D">
                    <w:rPr>
                      <w:rFonts w:ascii="Arial" w:hAnsi="Arial"/>
                      <w:sz w:val="18"/>
                      <w:lang w:eastAsia="zh-CN"/>
                    </w:rPr>
                    <w:tab/>
                  </w:r>
                  <w:r w:rsidRPr="00BD769D">
                    <w:rPr>
                      <w:rFonts w:ascii="Arial" w:hAnsi="Arial"/>
                      <w:sz w:val="18"/>
                      <w:lang w:eastAsia="ja-JP"/>
                    </w:rPr>
                    <w:t>Value is derived from Table 4.1-1 in TS 38.214 [</w:t>
                  </w:r>
                  <w:r w:rsidRPr="00BD769D">
                    <w:rPr>
                      <w:rFonts w:ascii="Arial" w:hAnsi="Arial" w:hint="eastAsia"/>
                      <w:sz w:val="18"/>
                      <w:lang w:eastAsia="zh-CN"/>
                    </w:rPr>
                    <w:t>12</w:t>
                  </w:r>
                  <w:r w:rsidRPr="00BD769D">
                    <w:rPr>
                      <w:rFonts w:ascii="Arial" w:hAnsi="Arial"/>
                      <w:sz w:val="18"/>
                      <w:lang w:eastAsia="ja-JP"/>
                    </w:rPr>
                    <w:t xml:space="preserve">] based on </w:t>
                  </w:r>
                  <w:r w:rsidRPr="00BD769D">
                    <w:rPr>
                      <w:rFonts w:ascii="Arial" w:hAnsi="Arial"/>
                      <w:sz w:val="18"/>
                    </w:rPr>
                    <w:t>"</w:t>
                  </w:r>
                  <w:r w:rsidRPr="00BD769D">
                    <w:rPr>
                      <w:rFonts w:ascii="Arial" w:hAnsi="Arial"/>
                      <w:sz w:val="18"/>
                      <w:lang w:eastAsia="ja-JP"/>
                    </w:rPr>
                    <w:t>Number of DM-RS CDM groups without data</w:t>
                  </w:r>
                  <w:r w:rsidRPr="00BD769D">
                    <w:rPr>
                      <w:rFonts w:ascii="Arial" w:hAnsi="Arial"/>
                      <w:sz w:val="18"/>
                    </w:rPr>
                    <w:t>"</w:t>
                  </w:r>
                  <w:r w:rsidRPr="00BD769D">
                    <w:rPr>
                      <w:rFonts w:ascii="Arial" w:hAnsi="Arial"/>
                      <w:sz w:val="18"/>
                      <w:lang w:eastAsia="ja-JP"/>
                    </w:rPr>
                    <w:t xml:space="preserve"> and </w:t>
                  </w:r>
                  <w:r w:rsidRPr="00BD769D">
                    <w:rPr>
                      <w:rFonts w:ascii="Arial" w:hAnsi="Arial"/>
                      <w:sz w:val="18"/>
                    </w:rPr>
                    <w:t>"</w:t>
                  </w:r>
                  <w:r w:rsidRPr="00BD769D">
                    <w:rPr>
                      <w:rFonts w:ascii="Arial" w:hAnsi="Arial"/>
                      <w:sz w:val="18"/>
                      <w:lang w:eastAsia="ja-JP"/>
                    </w:rPr>
                    <w:t>DMRS Type</w:t>
                  </w:r>
                  <w:r w:rsidRPr="00BD769D">
                    <w:rPr>
                      <w:rFonts w:ascii="Arial" w:hAnsi="Arial"/>
                      <w:sz w:val="18"/>
                    </w:rPr>
                    <w:t>"</w:t>
                  </w:r>
                  <w:r w:rsidRPr="00BD769D">
                    <w:rPr>
                      <w:rFonts w:ascii="Arial" w:hAnsi="Arial"/>
                      <w:sz w:val="18"/>
                      <w:lang w:eastAsia="ja-JP"/>
                    </w:rPr>
                    <w:t xml:space="preserve"> parameters specified for each test</w:t>
                  </w:r>
                </w:p>
              </w:tc>
            </w:tr>
          </w:tbl>
          <w:p w14:paraId="251DBB80" w14:textId="45654F89" w:rsidR="00BD769D" w:rsidRPr="001E1280" w:rsidRDefault="00BD769D" w:rsidP="001E1280">
            <w:pPr>
              <w:spacing w:line="280" w:lineRule="atLeast"/>
              <w:jc w:val="both"/>
              <w:rPr>
                <w:highlight w:val="yellow"/>
                <w:lang w:eastAsia="ja-JP" w:bidi="hi-IN"/>
              </w:rPr>
            </w:pPr>
          </w:p>
        </w:tc>
      </w:tr>
    </w:tbl>
    <w:p w14:paraId="01733E36" w14:textId="7E1DBC9E" w:rsidR="0066661F" w:rsidRDefault="006F7386" w:rsidP="000C1211">
      <w:pPr>
        <w:rPr>
          <w:lang w:eastAsia="ja-JP" w:bidi="hi-IN"/>
        </w:rPr>
      </w:pPr>
      <w:r>
        <w:rPr>
          <w:lang w:eastAsia="ja-JP" w:bidi="hi-IN"/>
        </w:rPr>
        <w:t>One of important part is clarification on whether EPRE ratio in TS 38.101-4 is per port or for all ports and after of before precoder.</w:t>
      </w:r>
    </w:p>
    <w:p w14:paraId="11269351" w14:textId="340EAD2D" w:rsidR="006F7386" w:rsidRDefault="006F7386" w:rsidP="000C1211">
      <w:pPr>
        <w:rPr>
          <w:lang w:val="en-US" w:eastAsia="ja-JP" w:bidi="hi-IN"/>
        </w:rPr>
      </w:pPr>
      <w:r>
        <w:rPr>
          <w:lang w:val="en-US" w:eastAsia="ja-JP" w:bidi="hi-IN"/>
        </w:rPr>
        <w:t xml:space="preserve">Based on our understanding, </w:t>
      </w:r>
      <w:r w:rsidRPr="006F7386">
        <w:rPr>
          <w:lang w:val="en-US" w:eastAsia="ja-JP" w:bidi="hi-IN"/>
        </w:rPr>
        <w:t xml:space="preserve">EPRE ratio </w:t>
      </w:r>
      <w:r w:rsidR="00917E02">
        <w:rPr>
          <w:lang w:val="en-US" w:eastAsia="ja-JP" w:bidi="hi-IN"/>
        </w:rPr>
        <w:t xml:space="preserve">for different channel and reference signals is defined under different assumptions. For example, </w:t>
      </w:r>
      <w:r w:rsidRPr="006F7386">
        <w:rPr>
          <w:lang w:val="en-US" w:eastAsia="ja-JP" w:bidi="hi-IN"/>
        </w:rPr>
        <w:t>PDSCH to PDSCH DMRS</w:t>
      </w:r>
      <w:r>
        <w:rPr>
          <w:lang w:val="en-US" w:eastAsia="ja-JP" w:bidi="hi-IN"/>
        </w:rPr>
        <w:t xml:space="preserve"> is defined per port and before precoder, because if it is defined for all antenna ports then EPRE ratio should be equal to 0 dB. Same time, </w:t>
      </w:r>
      <w:r w:rsidRPr="006F7386">
        <w:rPr>
          <w:lang w:val="en-US" w:eastAsia="ja-JP" w:bidi="hi-IN"/>
        </w:rPr>
        <w:t xml:space="preserve">EPRE ratio of </w:t>
      </w:r>
      <w:r>
        <w:rPr>
          <w:lang w:val="en-US" w:eastAsia="ja-JP" w:bidi="hi-IN"/>
        </w:rPr>
        <w:t>CSI-RS</w:t>
      </w:r>
      <w:r w:rsidRPr="006F7386">
        <w:rPr>
          <w:lang w:val="en-US" w:eastAsia="ja-JP" w:bidi="hi-IN"/>
        </w:rPr>
        <w:t xml:space="preserve"> to </w:t>
      </w:r>
      <w:r>
        <w:rPr>
          <w:lang w:val="en-US" w:eastAsia="ja-JP" w:bidi="hi-IN"/>
        </w:rPr>
        <w:t xml:space="preserve">SSS is defined for all ports, because </w:t>
      </w:r>
      <w:r w:rsidR="00917E02">
        <w:rPr>
          <w:lang w:val="en-US" w:eastAsia="ja-JP" w:bidi="hi-IN"/>
        </w:rPr>
        <w:t>if it is defined per port then EPRE ratio should depend on number of ports mapped on same RE (i.e. CDM configuration).</w:t>
      </w:r>
    </w:p>
    <w:p w14:paraId="321671B6" w14:textId="245C8E2D" w:rsidR="00917E02" w:rsidRDefault="00917E02" w:rsidP="000C1211">
      <w:pPr>
        <w:rPr>
          <w:lang w:val="en-US" w:eastAsia="ja-JP" w:bidi="hi-IN"/>
        </w:rPr>
      </w:pPr>
      <w:r>
        <w:rPr>
          <w:lang w:val="en-US" w:eastAsia="ja-JP" w:bidi="hi-IN"/>
        </w:rPr>
        <w:t>Taking into account such observations, we suggest to align assumptions on EPRE ratio configuration for all physical channels and reference signals.</w:t>
      </w:r>
      <w:r w:rsidR="006944A3">
        <w:rPr>
          <w:lang w:val="en-US" w:eastAsia="ja-JP" w:bidi="hi-IN"/>
        </w:rPr>
        <w:t xml:space="preserve"> We suggest to consider two candidate options:</w:t>
      </w:r>
    </w:p>
    <w:p w14:paraId="0DC72307" w14:textId="1C9019C3" w:rsidR="006944A3" w:rsidRDefault="006944A3" w:rsidP="006944A3">
      <w:pPr>
        <w:numPr>
          <w:ilvl w:val="0"/>
          <w:numId w:val="17"/>
        </w:numPr>
        <w:rPr>
          <w:lang w:val="en-US" w:eastAsia="ja-JP" w:bidi="hi-IN"/>
        </w:rPr>
      </w:pPr>
      <w:r>
        <w:rPr>
          <w:lang w:val="en-US" w:eastAsia="ja-JP" w:bidi="hi-IN"/>
        </w:rPr>
        <w:t>Option 1: For all ports and after precoder</w:t>
      </w:r>
    </w:p>
    <w:p w14:paraId="5F39164B" w14:textId="7F58B938" w:rsidR="006944A3" w:rsidRPr="00840850" w:rsidRDefault="006944A3" w:rsidP="006944A3">
      <w:pPr>
        <w:numPr>
          <w:ilvl w:val="0"/>
          <w:numId w:val="17"/>
        </w:numPr>
        <w:rPr>
          <w:lang w:val="en-US" w:eastAsia="ja-JP" w:bidi="hi-IN"/>
        </w:rPr>
      </w:pPr>
      <w:r>
        <w:rPr>
          <w:lang w:val="en-US" w:eastAsia="ja-JP" w:bidi="hi-IN"/>
        </w:rPr>
        <w:t>Option 2: Per port and before precoder.</w:t>
      </w:r>
    </w:p>
    <w:p w14:paraId="0BB81B5D" w14:textId="47B03BF3" w:rsidR="006F7386" w:rsidRDefault="006944A3" w:rsidP="000C1211">
      <w:pPr>
        <w:rPr>
          <w:lang w:val="en-US" w:eastAsia="ja-JP" w:bidi="hi-IN"/>
        </w:rPr>
      </w:pPr>
      <w:r>
        <w:rPr>
          <w:lang w:val="en-US" w:eastAsia="ja-JP" w:bidi="hi-IN"/>
        </w:rPr>
        <w:t xml:space="preserve">If EPRE ratio will be defined with using of Option 1 then EPRE ratio should be equal to 0 for all physical channels and reference signals. Such procedure will be rather aligned with EPRE ratio definition in TS 38.214. However, such </w:t>
      </w:r>
      <w:r>
        <w:rPr>
          <w:lang w:val="en-US" w:eastAsia="ja-JP" w:bidi="hi-IN"/>
        </w:rPr>
        <w:lastRenderedPageBreak/>
        <w:t>procedure is not transparent for reviewer and requires additional information from other specifications to understand power configuration of each port of physical channels and reference signals</w:t>
      </w:r>
      <w:r w:rsidR="008F074B">
        <w:rPr>
          <w:lang w:val="en-US" w:eastAsia="ja-JP" w:bidi="hi-IN"/>
        </w:rPr>
        <w:t xml:space="preserve"> which is more important for test configuration</w:t>
      </w:r>
      <w:r>
        <w:rPr>
          <w:lang w:val="en-US" w:eastAsia="ja-JP" w:bidi="hi-IN"/>
        </w:rPr>
        <w:t>. Therefore, we suggest to</w:t>
      </w:r>
      <w:r w:rsidR="00AF36DB">
        <w:rPr>
          <w:lang w:val="en-US" w:eastAsia="ja-JP" w:bidi="hi-IN"/>
        </w:rPr>
        <w:t xml:space="preserve"> consider</w:t>
      </w:r>
      <w:r>
        <w:rPr>
          <w:lang w:val="en-US" w:eastAsia="ja-JP" w:bidi="hi-IN"/>
        </w:rPr>
        <w:t xml:space="preserve"> Option 2.</w:t>
      </w:r>
    </w:p>
    <w:p w14:paraId="3C45420E" w14:textId="1B42048F" w:rsidR="006944A3" w:rsidRDefault="00AF36DB" w:rsidP="000C1211">
      <w:pPr>
        <w:rPr>
          <w:lang w:val="en-US" w:eastAsia="ja-JP" w:bidi="hi-IN"/>
        </w:rPr>
      </w:pPr>
      <w:r>
        <w:rPr>
          <w:lang w:val="en-US" w:eastAsia="ja-JP" w:bidi="hi-IN"/>
        </w:rPr>
        <w:t>If EPRE ratio is defined per port and before precoder then we suggest to double check the configuration of the following parameters:</w:t>
      </w:r>
    </w:p>
    <w:p w14:paraId="4EB59C18" w14:textId="62019E07" w:rsidR="00AF36DB" w:rsidRPr="00AF36DB" w:rsidRDefault="00AF36DB" w:rsidP="00AF36DB">
      <w:pPr>
        <w:numPr>
          <w:ilvl w:val="0"/>
          <w:numId w:val="18"/>
        </w:numPr>
        <w:rPr>
          <w:lang w:val="en-US" w:eastAsia="ja-JP" w:bidi="hi-IN"/>
        </w:rPr>
      </w:pPr>
      <w:r w:rsidRPr="00AF36DB">
        <w:rPr>
          <w:lang w:val="en-US" w:eastAsia="ja-JP" w:bidi="hi-IN"/>
        </w:rPr>
        <w:t>EPRE ratio of PDSCH to SSS</w:t>
      </w:r>
      <w:r>
        <w:rPr>
          <w:lang w:val="en-US" w:eastAsia="ja-JP" w:bidi="hi-IN"/>
        </w:rPr>
        <w:t xml:space="preserve">. Based on our understanding this parameter should be set to ensure that EPRE ratio </w:t>
      </w:r>
      <w:r w:rsidR="008F074B">
        <w:rPr>
          <w:lang w:val="en-US" w:eastAsia="ja-JP" w:bidi="hi-IN"/>
        </w:rPr>
        <w:t>of</w:t>
      </w:r>
      <w:r>
        <w:rPr>
          <w:lang w:val="en-US" w:eastAsia="ja-JP" w:bidi="hi-IN"/>
        </w:rPr>
        <w:t xml:space="preserve"> all </w:t>
      </w:r>
      <w:r w:rsidR="008F074B">
        <w:rPr>
          <w:lang w:val="en-US" w:eastAsia="ja-JP" w:bidi="hi-IN"/>
        </w:rPr>
        <w:t xml:space="preserve">PDSCH </w:t>
      </w:r>
      <w:r>
        <w:rPr>
          <w:lang w:val="en-US" w:eastAsia="ja-JP" w:bidi="hi-IN"/>
        </w:rPr>
        <w:t>port</w:t>
      </w:r>
      <w:r w:rsidR="008F074B">
        <w:rPr>
          <w:lang w:val="en-US" w:eastAsia="ja-JP" w:bidi="hi-IN"/>
        </w:rPr>
        <w:t>s/layers</w:t>
      </w:r>
      <w:r>
        <w:rPr>
          <w:lang w:val="en-US" w:eastAsia="ja-JP" w:bidi="hi-IN"/>
        </w:rPr>
        <w:t xml:space="preserve"> after precoder</w:t>
      </w:r>
      <w:r w:rsidR="008F074B">
        <w:rPr>
          <w:lang w:val="en-US" w:eastAsia="ja-JP" w:bidi="hi-IN"/>
        </w:rPr>
        <w:t xml:space="preserve"> to SS</w:t>
      </w:r>
      <w:r>
        <w:rPr>
          <w:lang w:val="en-US" w:eastAsia="ja-JP" w:bidi="hi-IN"/>
        </w:rPr>
        <w:t xml:space="preserve"> is equal to 0 dB. Taking into account</w:t>
      </w:r>
      <w:r w:rsidR="008F074B">
        <w:rPr>
          <w:lang w:val="en-US" w:eastAsia="ja-JP" w:bidi="hi-IN"/>
        </w:rPr>
        <w:t xml:space="preserve"> that</w:t>
      </w:r>
      <w:r>
        <w:rPr>
          <w:lang w:val="en-US" w:eastAsia="ja-JP" w:bidi="hi-IN"/>
        </w:rPr>
        <w:t xml:space="preserve"> all required power scaling coefficients are already included in the precoder matrix, we think that </w:t>
      </w:r>
      <w:r w:rsidR="003D58EA">
        <w:rPr>
          <w:lang w:val="en-US" w:eastAsia="ja-JP" w:bidi="hi-IN"/>
        </w:rPr>
        <w:t xml:space="preserve">value of </w:t>
      </w:r>
      <w:r w:rsidR="003D58EA" w:rsidRPr="00AF36DB">
        <w:rPr>
          <w:lang w:val="en-US" w:eastAsia="ja-JP" w:bidi="hi-IN"/>
        </w:rPr>
        <w:t>EPRE ratio of PDSCH to SSS</w:t>
      </w:r>
      <w:r w:rsidR="003D58EA">
        <w:rPr>
          <w:lang w:val="en-US" w:eastAsia="ja-JP" w:bidi="hi-IN"/>
        </w:rPr>
        <w:t xml:space="preserve"> should be equal to 0 dB in case of EPRE ratio is per port and before precoder.</w:t>
      </w:r>
    </w:p>
    <w:p w14:paraId="1BE530A8" w14:textId="17CD0D60" w:rsidR="00AF36DB" w:rsidRDefault="00AF36DB" w:rsidP="00AF36DB">
      <w:pPr>
        <w:numPr>
          <w:ilvl w:val="0"/>
          <w:numId w:val="18"/>
        </w:numPr>
        <w:rPr>
          <w:lang w:val="en-US" w:eastAsia="ja-JP" w:bidi="hi-IN"/>
        </w:rPr>
      </w:pPr>
      <w:r w:rsidRPr="00AF36DB">
        <w:rPr>
          <w:lang w:val="en-US" w:eastAsia="ja-JP" w:bidi="hi-IN"/>
        </w:rPr>
        <w:t>EPRE ratio of PDSCH to PDSCH DMRS</w:t>
      </w:r>
      <w:r>
        <w:rPr>
          <w:lang w:val="en-US" w:eastAsia="ja-JP" w:bidi="hi-IN"/>
        </w:rPr>
        <w:t>. As we mentioned above, based on our understanding, this parameter is already set under per port</w:t>
      </w:r>
      <w:r w:rsidR="008F074B">
        <w:rPr>
          <w:lang w:val="en-US" w:eastAsia="ja-JP" w:bidi="hi-IN"/>
        </w:rPr>
        <w:t>/layer</w:t>
      </w:r>
      <w:r>
        <w:rPr>
          <w:lang w:val="en-US" w:eastAsia="ja-JP" w:bidi="hi-IN"/>
        </w:rPr>
        <w:t xml:space="preserve"> assumption. Therefore, values </w:t>
      </w:r>
      <w:r w:rsidR="008F074B">
        <w:rPr>
          <w:lang w:val="en-US" w:eastAsia="ja-JP" w:bidi="hi-IN"/>
        </w:rPr>
        <w:t xml:space="preserve">from </w:t>
      </w:r>
      <w:r w:rsidRPr="00AF36DB">
        <w:rPr>
          <w:lang w:val="en-US" w:eastAsia="ja-JP" w:bidi="hi-IN"/>
        </w:rPr>
        <w:t>Table 4.1-1 in TS 38.214</w:t>
      </w:r>
      <w:r>
        <w:rPr>
          <w:lang w:val="en-US" w:eastAsia="ja-JP" w:bidi="hi-IN"/>
        </w:rPr>
        <w:t xml:space="preserve"> depending on test configuration can be considered.</w:t>
      </w:r>
    </w:p>
    <w:p w14:paraId="0BF05C6A" w14:textId="3ECAA17F" w:rsidR="006944A3" w:rsidRDefault="00AF36DB" w:rsidP="00AF36DB">
      <w:pPr>
        <w:numPr>
          <w:ilvl w:val="0"/>
          <w:numId w:val="18"/>
        </w:numPr>
        <w:rPr>
          <w:lang w:val="en-US" w:eastAsia="ja-JP" w:bidi="hi-IN"/>
        </w:rPr>
      </w:pPr>
      <w:r w:rsidRPr="00AF36DB">
        <w:rPr>
          <w:lang w:val="en-US" w:eastAsia="ja-JP" w:bidi="hi-IN"/>
        </w:rPr>
        <w:t>EPRE ratio of CSI-RS to SSS</w:t>
      </w:r>
      <w:r w:rsidR="003D58EA">
        <w:rPr>
          <w:lang w:val="en-US" w:eastAsia="ja-JP" w:bidi="hi-IN"/>
        </w:rPr>
        <w:t xml:space="preserve">. At current stage, all requirements are defined for non-precoded CSI-RS. Therefore, before mapping to physical antenna elements, we need to ensure that EPRE ratio of all port CSI-RS to SSS is equal to 0 dB. Such case can be observed only in case power of each CSI-RS port will be scaled depending on number </w:t>
      </w:r>
      <w:r w:rsidR="008F074B">
        <w:rPr>
          <w:lang w:val="en-US" w:eastAsia="ja-JP" w:bidi="hi-IN"/>
        </w:rPr>
        <w:t>o</w:t>
      </w:r>
      <w:r w:rsidR="003D58EA">
        <w:rPr>
          <w:lang w:val="en-US" w:eastAsia="ja-JP" w:bidi="hi-IN"/>
        </w:rPr>
        <w:t>f CSI-RS ports mapped on one RE, i.e. -10*log10(CDM size).</w:t>
      </w:r>
    </w:p>
    <w:p w14:paraId="0D5C3FD0" w14:textId="7D6FF5E0" w:rsidR="00896377" w:rsidRDefault="00896377" w:rsidP="00AF36DB">
      <w:pPr>
        <w:numPr>
          <w:ilvl w:val="0"/>
          <w:numId w:val="18"/>
        </w:numPr>
        <w:rPr>
          <w:lang w:val="en-US" w:eastAsia="ja-JP" w:bidi="hi-IN"/>
        </w:rPr>
      </w:pPr>
      <w:r w:rsidRPr="00896377">
        <w:rPr>
          <w:lang w:val="en-US" w:eastAsia="ja-JP" w:bidi="hi-IN"/>
        </w:rPr>
        <w:t>EPRE ratio of PTRS to PDSCH</w:t>
      </w:r>
      <w:r>
        <w:rPr>
          <w:lang w:val="en-US" w:eastAsia="ja-JP" w:bidi="hi-IN"/>
        </w:rPr>
        <w:t xml:space="preserve">. Based on our understanding, it is already defined under assumption of per port </w:t>
      </w:r>
      <w:r w:rsidR="008F074B">
        <w:rPr>
          <w:lang w:val="en-US" w:eastAsia="ja-JP" w:bidi="hi-IN"/>
        </w:rPr>
        <w:t>/</w:t>
      </w:r>
      <w:r>
        <w:rPr>
          <w:lang w:val="en-US" w:eastAsia="ja-JP" w:bidi="hi-IN"/>
        </w:rPr>
        <w:t>layer and before precoder. Therefore, we can keep it unchanged.</w:t>
      </w:r>
    </w:p>
    <w:p w14:paraId="635F1112" w14:textId="18C35898" w:rsidR="00AF36DB" w:rsidRDefault="00AF36DB" w:rsidP="00AF36DB">
      <w:pPr>
        <w:rPr>
          <w:lang w:val="en-US" w:eastAsia="ja-JP" w:bidi="hi-IN"/>
        </w:rPr>
      </w:pPr>
      <w:r>
        <w:rPr>
          <w:lang w:val="en-US" w:eastAsia="ja-JP" w:bidi="hi-IN"/>
        </w:rPr>
        <w:t>For other ratios, 0 dB is valid for any EPRE ratio assumptions due to one port transmission.</w:t>
      </w:r>
    </w:p>
    <w:p w14:paraId="6DC1AE28" w14:textId="1A2F698D" w:rsidR="000C1211" w:rsidRDefault="000C1211" w:rsidP="000C1211">
      <w:pPr>
        <w:tabs>
          <w:tab w:val="left" w:pos="1276"/>
        </w:tabs>
        <w:ind w:left="1276" w:hanging="1276"/>
        <w:jc w:val="both"/>
        <w:rPr>
          <w:rFonts w:ascii="Helvetica-Bold" w:hAnsi="Helvetica-Bold" w:hint="eastAsia"/>
          <w:b/>
          <w:bCs/>
          <w:color w:val="000000"/>
        </w:rPr>
      </w:pPr>
      <w:r w:rsidRPr="004D5ECC">
        <w:rPr>
          <w:b/>
        </w:rPr>
        <w:t xml:space="preserve">Proposal </w:t>
      </w:r>
      <w:r w:rsidR="003D58EA">
        <w:rPr>
          <w:b/>
        </w:rPr>
        <w:t>1</w:t>
      </w:r>
      <w:r w:rsidRPr="004D5ECC">
        <w:rPr>
          <w:b/>
        </w:rPr>
        <w:t>:</w:t>
      </w:r>
      <w:r w:rsidRPr="004D5ECC">
        <w:rPr>
          <w:b/>
        </w:rPr>
        <w:tab/>
      </w:r>
      <w:r w:rsidR="003D58EA">
        <w:rPr>
          <w:b/>
        </w:rPr>
        <w:t xml:space="preserve">Clarify that EPRE ratio in Tables </w:t>
      </w:r>
      <w:r w:rsidR="003D58EA" w:rsidRPr="003D58EA">
        <w:rPr>
          <w:rFonts w:ascii="Helvetica-Bold" w:hAnsi="Helvetica-Bold"/>
          <w:b/>
          <w:bCs/>
          <w:color w:val="000000"/>
        </w:rPr>
        <w:t>C.3.1-1</w:t>
      </w:r>
      <w:r w:rsidR="003D58EA">
        <w:rPr>
          <w:rFonts w:ascii="Helvetica-Bold" w:hAnsi="Helvetica-Bold"/>
          <w:b/>
          <w:bCs/>
          <w:color w:val="000000"/>
        </w:rPr>
        <w:t xml:space="preserve"> and </w:t>
      </w:r>
      <w:r w:rsidR="003D58EA" w:rsidRPr="003D58EA">
        <w:rPr>
          <w:rFonts w:ascii="Helvetica-Bold" w:hAnsi="Helvetica-Bold"/>
          <w:b/>
          <w:bCs/>
          <w:color w:val="000000"/>
        </w:rPr>
        <w:t>C.5.1-1</w:t>
      </w:r>
      <w:r w:rsidR="003D58EA">
        <w:rPr>
          <w:rFonts w:ascii="Helvetica-Bold" w:hAnsi="Helvetica-Bold"/>
          <w:b/>
          <w:bCs/>
          <w:color w:val="000000"/>
        </w:rPr>
        <w:t xml:space="preserve"> are defined as per port and before </w:t>
      </w:r>
      <w:r w:rsidR="00DC2D67">
        <w:rPr>
          <w:rFonts w:ascii="Helvetica-Bold" w:hAnsi="Helvetica-Bold"/>
          <w:b/>
          <w:bCs/>
          <w:color w:val="000000"/>
        </w:rPr>
        <w:t>precoder.</w:t>
      </w:r>
    </w:p>
    <w:p w14:paraId="1ADA1669" w14:textId="5AEB5FBB" w:rsidR="00DC2D67" w:rsidRDefault="00DC2D67" w:rsidP="00DC2D67">
      <w:pPr>
        <w:tabs>
          <w:tab w:val="left" w:pos="1276"/>
        </w:tabs>
        <w:ind w:left="1276" w:hanging="1276"/>
        <w:jc w:val="both"/>
        <w:rPr>
          <w:rFonts w:ascii="Helvetica-Bold" w:hAnsi="Helvetica-Bold" w:hint="eastAsia"/>
          <w:b/>
          <w:bCs/>
          <w:color w:val="000000"/>
        </w:rPr>
      </w:pPr>
      <w:r w:rsidRPr="004D5ECC">
        <w:rPr>
          <w:b/>
        </w:rPr>
        <w:t xml:space="preserve">Proposal </w:t>
      </w:r>
      <w:r>
        <w:rPr>
          <w:b/>
        </w:rPr>
        <w:t>2</w:t>
      </w:r>
      <w:r w:rsidRPr="004D5ECC">
        <w:rPr>
          <w:b/>
        </w:rPr>
        <w:t>:</w:t>
      </w:r>
      <w:r w:rsidRPr="004D5ECC">
        <w:rPr>
          <w:b/>
        </w:rPr>
        <w:tab/>
      </w:r>
      <w:r>
        <w:rPr>
          <w:b/>
        </w:rPr>
        <w:t xml:space="preserve">Change configuration for </w:t>
      </w:r>
      <w:r w:rsidRPr="00DC2D67">
        <w:rPr>
          <w:b/>
        </w:rPr>
        <w:t>EPRE ratio of CSI-RS to SSS</w:t>
      </w:r>
      <w:r>
        <w:rPr>
          <w:b/>
        </w:rPr>
        <w:t xml:space="preserve"> from 0 to -</w:t>
      </w:r>
      <w:r w:rsidRPr="00DC2D67">
        <w:rPr>
          <w:b/>
        </w:rPr>
        <w:t>10*log10(CDM size)</w:t>
      </w:r>
      <w:r w:rsidR="00896377">
        <w:rPr>
          <w:b/>
        </w:rPr>
        <w:t xml:space="preserve"> and keep configuration for other parameters </w:t>
      </w:r>
      <w:r w:rsidR="00896377" w:rsidRPr="00896377">
        <w:rPr>
          <w:b/>
        </w:rPr>
        <w:t>unchanged</w:t>
      </w:r>
      <w:r w:rsidR="00896377">
        <w:rPr>
          <w:b/>
        </w:rPr>
        <w:t>.</w:t>
      </w:r>
    </w:p>
    <w:p w14:paraId="184EE559" w14:textId="77777777" w:rsidR="000D4B18" w:rsidRPr="00146B4F" w:rsidRDefault="000D4B18" w:rsidP="00554E5A">
      <w:pPr>
        <w:pStyle w:val="Heading1"/>
      </w:pPr>
      <w:r w:rsidRPr="00146B4F">
        <w:t>Conclusion</w:t>
      </w:r>
    </w:p>
    <w:p w14:paraId="25C1508A" w14:textId="4CA2D6A1" w:rsidR="002B4C37" w:rsidRDefault="008F0FEC" w:rsidP="001B32E7">
      <w:pPr>
        <w:tabs>
          <w:tab w:val="left" w:pos="709"/>
        </w:tabs>
        <w:spacing w:before="60" w:after="60"/>
        <w:jc w:val="both"/>
      </w:pPr>
      <w:r>
        <w:t>In this paper we provided view</w:t>
      </w:r>
      <w:r w:rsidR="008F074B">
        <w:t xml:space="preserve"> on clarification of </w:t>
      </w:r>
      <w:r w:rsidR="008F074B">
        <w:t>DL signals power ratios</w:t>
      </w:r>
      <w:bookmarkStart w:id="2" w:name="_GoBack"/>
      <w:bookmarkEnd w:id="2"/>
      <w:r>
        <w:t xml:space="preserve"> and made the following proposals:</w:t>
      </w:r>
    </w:p>
    <w:p w14:paraId="62A539D4" w14:textId="77777777" w:rsidR="00DC2D67" w:rsidRDefault="00DC2D67" w:rsidP="00DC2D67">
      <w:pPr>
        <w:tabs>
          <w:tab w:val="left" w:pos="1276"/>
        </w:tabs>
        <w:ind w:left="1276" w:hanging="1276"/>
        <w:jc w:val="both"/>
        <w:rPr>
          <w:rFonts w:ascii="Helvetica-Bold" w:hAnsi="Helvetica-Bold" w:hint="eastAsia"/>
          <w:b/>
          <w:bCs/>
          <w:color w:val="000000"/>
        </w:rPr>
      </w:pPr>
      <w:r w:rsidRPr="004D5ECC">
        <w:rPr>
          <w:b/>
        </w:rPr>
        <w:t xml:space="preserve">Proposal </w:t>
      </w:r>
      <w:r>
        <w:rPr>
          <w:b/>
        </w:rPr>
        <w:t>1</w:t>
      </w:r>
      <w:r w:rsidRPr="004D5ECC">
        <w:rPr>
          <w:b/>
        </w:rPr>
        <w:t>:</w:t>
      </w:r>
      <w:r w:rsidRPr="004D5ECC">
        <w:rPr>
          <w:b/>
        </w:rPr>
        <w:tab/>
      </w:r>
      <w:r>
        <w:rPr>
          <w:b/>
        </w:rPr>
        <w:t xml:space="preserve">Clarify that EPRE ratio in Tables </w:t>
      </w:r>
      <w:r w:rsidRPr="003D58EA">
        <w:rPr>
          <w:rFonts w:ascii="Helvetica-Bold" w:hAnsi="Helvetica-Bold"/>
          <w:b/>
          <w:bCs/>
          <w:color w:val="000000"/>
        </w:rPr>
        <w:t>C.3.1-1</w:t>
      </w:r>
      <w:r>
        <w:rPr>
          <w:rFonts w:ascii="Helvetica-Bold" w:hAnsi="Helvetica-Bold"/>
          <w:b/>
          <w:bCs/>
          <w:color w:val="000000"/>
        </w:rPr>
        <w:t xml:space="preserve"> and </w:t>
      </w:r>
      <w:r w:rsidRPr="003D58EA">
        <w:rPr>
          <w:rFonts w:ascii="Helvetica-Bold" w:hAnsi="Helvetica-Bold"/>
          <w:b/>
          <w:bCs/>
          <w:color w:val="000000"/>
        </w:rPr>
        <w:t>C.5.1-1</w:t>
      </w:r>
      <w:r>
        <w:rPr>
          <w:rFonts w:ascii="Helvetica-Bold" w:hAnsi="Helvetica-Bold"/>
          <w:b/>
          <w:bCs/>
          <w:color w:val="000000"/>
        </w:rPr>
        <w:t xml:space="preserve"> are defined as per port and before precoder.</w:t>
      </w:r>
    </w:p>
    <w:p w14:paraId="417BE29A" w14:textId="21875E56" w:rsidR="00DC2D67" w:rsidRDefault="00DC2D67" w:rsidP="00DC2D67">
      <w:pPr>
        <w:tabs>
          <w:tab w:val="left" w:pos="1276"/>
        </w:tabs>
        <w:ind w:left="1276" w:hanging="1276"/>
        <w:jc w:val="both"/>
        <w:rPr>
          <w:rFonts w:ascii="Helvetica-Bold" w:hAnsi="Helvetica-Bold" w:hint="eastAsia"/>
          <w:b/>
          <w:bCs/>
          <w:color w:val="000000"/>
        </w:rPr>
      </w:pPr>
      <w:r w:rsidRPr="004D5ECC">
        <w:rPr>
          <w:b/>
        </w:rPr>
        <w:t xml:space="preserve">Proposal </w:t>
      </w:r>
      <w:r>
        <w:rPr>
          <w:b/>
        </w:rPr>
        <w:t>2</w:t>
      </w:r>
      <w:r w:rsidRPr="004D5ECC">
        <w:rPr>
          <w:b/>
        </w:rPr>
        <w:t>:</w:t>
      </w:r>
      <w:r w:rsidRPr="004D5ECC">
        <w:rPr>
          <w:b/>
        </w:rPr>
        <w:tab/>
      </w:r>
      <w:r>
        <w:rPr>
          <w:b/>
        </w:rPr>
        <w:t xml:space="preserve">Change configuration for </w:t>
      </w:r>
      <w:r w:rsidRPr="00DC2D67">
        <w:rPr>
          <w:b/>
        </w:rPr>
        <w:t>EPRE ratio of CSI-RS to SSS</w:t>
      </w:r>
      <w:r>
        <w:rPr>
          <w:b/>
        </w:rPr>
        <w:t xml:space="preserve"> from 0 to -</w:t>
      </w:r>
      <w:r w:rsidRPr="00DC2D67">
        <w:rPr>
          <w:b/>
        </w:rPr>
        <w:t>10*log10(CDM size)</w:t>
      </w:r>
      <w:r w:rsidR="00896377">
        <w:rPr>
          <w:b/>
        </w:rPr>
        <w:t xml:space="preserve"> and keep configuration for other parameters </w:t>
      </w:r>
      <w:r w:rsidR="00896377" w:rsidRPr="00896377">
        <w:rPr>
          <w:b/>
        </w:rPr>
        <w:t>unchanged</w:t>
      </w:r>
      <w:r w:rsidR="00896377">
        <w:rPr>
          <w:b/>
        </w:rPr>
        <w:t>.</w:t>
      </w:r>
    </w:p>
    <w:p w14:paraId="04861DE9" w14:textId="77777777" w:rsidR="001E216A" w:rsidRPr="00146B4F" w:rsidRDefault="001E216A" w:rsidP="00554E5A">
      <w:pPr>
        <w:pStyle w:val="Heading1"/>
      </w:pPr>
      <w:r w:rsidRPr="00146B4F">
        <w:t>References</w:t>
      </w:r>
    </w:p>
    <w:p w14:paraId="02A62327" w14:textId="72C64D88" w:rsidR="00BD081B" w:rsidRDefault="0066661F" w:rsidP="0066661F">
      <w:pPr>
        <w:widowControl w:val="0"/>
        <w:numPr>
          <w:ilvl w:val="0"/>
          <w:numId w:val="2"/>
        </w:numPr>
        <w:overflowPunct/>
        <w:autoSpaceDE/>
        <w:autoSpaceDN/>
        <w:adjustRightInd/>
        <w:jc w:val="both"/>
        <w:textAlignment w:val="auto"/>
      </w:pPr>
      <w:bookmarkStart w:id="3" w:name="_Ref37336207"/>
      <w:bookmarkStart w:id="4" w:name="_Ref36802365"/>
      <w:r w:rsidRPr="0066661F">
        <w:t>R4-2005517</w:t>
      </w:r>
      <w:r>
        <w:t xml:space="preserve"> “</w:t>
      </w:r>
      <w:r w:rsidRPr="0066661F">
        <w:t>Way forward on Rel-15 NR UE Performance Maintenance</w:t>
      </w:r>
      <w:r>
        <w:t xml:space="preserve">”, </w:t>
      </w:r>
      <w:r w:rsidRPr="0066661F">
        <w:t>Qualcomm</w:t>
      </w:r>
      <w:r>
        <w:t>, RAN4 #94-e-Bis, April 2020.</w:t>
      </w:r>
      <w:bookmarkEnd w:id="3"/>
      <w:bookmarkEnd w:id="4"/>
    </w:p>
    <w:sectPr w:rsidR="00BD081B" w:rsidSect="0060322F">
      <w:headerReference w:type="even" r:id="rId12"/>
      <w:footerReference w:type="even" r:id="rId13"/>
      <w:footerReference w:type="default" r:id="rId14"/>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BE1AE4" w14:textId="77777777" w:rsidR="00487E02" w:rsidRDefault="00487E02">
      <w:r>
        <w:separator/>
      </w:r>
    </w:p>
  </w:endnote>
  <w:endnote w:type="continuationSeparator" w:id="0">
    <w:p w14:paraId="1DE66DBE" w14:textId="77777777" w:rsidR="00487E02" w:rsidRDefault="00487E02">
      <w:r>
        <w:continuationSeparator/>
      </w:r>
    </w:p>
  </w:endnote>
  <w:endnote w:type="continuationNotice" w:id="1">
    <w:p w14:paraId="038E13D2" w14:textId="77777777" w:rsidR="00487E02" w:rsidRDefault="00487E0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E9EFA" w14:textId="77777777" w:rsidR="00F9707E" w:rsidRDefault="00F9707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AE597B7" w14:textId="77777777" w:rsidR="00F9707E" w:rsidRDefault="00F9707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9E7B9" w14:textId="77777777" w:rsidR="00F9707E" w:rsidRPr="00DB1239" w:rsidRDefault="00F9707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9720B2" w14:textId="77777777" w:rsidR="00487E02" w:rsidRDefault="00487E02">
      <w:r>
        <w:separator/>
      </w:r>
    </w:p>
  </w:footnote>
  <w:footnote w:type="continuationSeparator" w:id="0">
    <w:p w14:paraId="24483F41" w14:textId="77777777" w:rsidR="00487E02" w:rsidRDefault="00487E02">
      <w:r>
        <w:continuationSeparator/>
      </w:r>
    </w:p>
  </w:footnote>
  <w:footnote w:type="continuationNotice" w:id="1">
    <w:p w14:paraId="1F6CD7A9" w14:textId="77777777" w:rsidR="00487E02" w:rsidRDefault="00487E02">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6068B" w14:textId="77777777" w:rsidR="00F9707E" w:rsidRDefault="00F9707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C61FA7"/>
    <w:multiLevelType w:val="hybridMultilevel"/>
    <w:tmpl w:val="FBCEA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E049E0"/>
    <w:multiLevelType w:val="hybridMultilevel"/>
    <w:tmpl w:val="CBD2EC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8F10A11"/>
    <w:multiLevelType w:val="hybridMultilevel"/>
    <w:tmpl w:val="AAA8594A"/>
    <w:lvl w:ilvl="0" w:tplc="DFD0DF92">
      <w:start w:val="1"/>
      <w:numFmt w:val="bullet"/>
      <w:lvlText w:val="•"/>
      <w:lvlJc w:val="left"/>
      <w:pPr>
        <w:tabs>
          <w:tab w:val="num" w:pos="720"/>
        </w:tabs>
        <w:ind w:left="720" w:hanging="360"/>
      </w:pPr>
      <w:rPr>
        <w:rFonts w:ascii="Arial" w:hAnsi="Arial" w:hint="default"/>
      </w:rPr>
    </w:lvl>
    <w:lvl w:ilvl="1" w:tplc="92A8D9F2">
      <w:start w:val="218"/>
      <w:numFmt w:val="bullet"/>
      <w:lvlText w:val="–"/>
      <w:lvlJc w:val="left"/>
      <w:pPr>
        <w:tabs>
          <w:tab w:val="num" w:pos="1440"/>
        </w:tabs>
        <w:ind w:left="1440" w:hanging="360"/>
      </w:pPr>
      <w:rPr>
        <w:rFonts w:ascii="Arial" w:hAnsi="Arial" w:hint="default"/>
      </w:rPr>
    </w:lvl>
    <w:lvl w:ilvl="2" w:tplc="98C8A368">
      <w:start w:val="218"/>
      <w:numFmt w:val="bullet"/>
      <w:lvlText w:val="•"/>
      <w:lvlJc w:val="left"/>
      <w:pPr>
        <w:tabs>
          <w:tab w:val="num" w:pos="2160"/>
        </w:tabs>
        <w:ind w:left="2160" w:hanging="360"/>
      </w:pPr>
      <w:rPr>
        <w:rFonts w:ascii="Arial" w:hAnsi="Arial" w:hint="default"/>
      </w:rPr>
    </w:lvl>
    <w:lvl w:ilvl="3" w:tplc="77F8EDD4">
      <w:start w:val="1"/>
      <w:numFmt w:val="bullet"/>
      <w:lvlText w:val="•"/>
      <w:lvlJc w:val="left"/>
      <w:pPr>
        <w:tabs>
          <w:tab w:val="num" w:pos="2880"/>
        </w:tabs>
        <w:ind w:left="2880" w:hanging="360"/>
      </w:pPr>
      <w:rPr>
        <w:rFonts w:ascii="Arial" w:hAnsi="Arial" w:hint="default"/>
      </w:rPr>
    </w:lvl>
    <w:lvl w:ilvl="4" w:tplc="A4E20864" w:tentative="1">
      <w:start w:val="1"/>
      <w:numFmt w:val="bullet"/>
      <w:lvlText w:val="•"/>
      <w:lvlJc w:val="left"/>
      <w:pPr>
        <w:tabs>
          <w:tab w:val="num" w:pos="3600"/>
        </w:tabs>
        <w:ind w:left="3600" w:hanging="360"/>
      </w:pPr>
      <w:rPr>
        <w:rFonts w:ascii="Arial" w:hAnsi="Arial" w:hint="default"/>
      </w:rPr>
    </w:lvl>
    <w:lvl w:ilvl="5" w:tplc="247866E2" w:tentative="1">
      <w:start w:val="1"/>
      <w:numFmt w:val="bullet"/>
      <w:lvlText w:val="•"/>
      <w:lvlJc w:val="left"/>
      <w:pPr>
        <w:tabs>
          <w:tab w:val="num" w:pos="4320"/>
        </w:tabs>
        <w:ind w:left="4320" w:hanging="360"/>
      </w:pPr>
      <w:rPr>
        <w:rFonts w:ascii="Arial" w:hAnsi="Arial" w:hint="default"/>
      </w:rPr>
    </w:lvl>
    <w:lvl w:ilvl="6" w:tplc="759C614C" w:tentative="1">
      <w:start w:val="1"/>
      <w:numFmt w:val="bullet"/>
      <w:lvlText w:val="•"/>
      <w:lvlJc w:val="left"/>
      <w:pPr>
        <w:tabs>
          <w:tab w:val="num" w:pos="5040"/>
        </w:tabs>
        <w:ind w:left="5040" w:hanging="360"/>
      </w:pPr>
      <w:rPr>
        <w:rFonts w:ascii="Arial" w:hAnsi="Arial" w:hint="default"/>
      </w:rPr>
    </w:lvl>
    <w:lvl w:ilvl="7" w:tplc="2BB4EA06" w:tentative="1">
      <w:start w:val="1"/>
      <w:numFmt w:val="bullet"/>
      <w:lvlText w:val="•"/>
      <w:lvlJc w:val="left"/>
      <w:pPr>
        <w:tabs>
          <w:tab w:val="num" w:pos="5760"/>
        </w:tabs>
        <w:ind w:left="5760" w:hanging="360"/>
      </w:pPr>
      <w:rPr>
        <w:rFonts w:ascii="Arial" w:hAnsi="Arial" w:hint="default"/>
      </w:rPr>
    </w:lvl>
    <w:lvl w:ilvl="8" w:tplc="9288085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AF9186E"/>
    <w:multiLevelType w:val="hybridMultilevel"/>
    <w:tmpl w:val="DEE48134"/>
    <w:lvl w:ilvl="0" w:tplc="080AE00E">
      <w:start w:val="1"/>
      <w:numFmt w:val="bullet"/>
      <w:lvlText w:val="•"/>
      <w:lvlJc w:val="left"/>
      <w:pPr>
        <w:tabs>
          <w:tab w:val="num" w:pos="720"/>
        </w:tabs>
        <w:ind w:left="720" w:hanging="360"/>
      </w:pPr>
      <w:rPr>
        <w:rFonts w:ascii="Arial" w:hAnsi="Arial" w:hint="default"/>
      </w:rPr>
    </w:lvl>
    <w:lvl w:ilvl="1" w:tplc="00D2E256" w:tentative="1">
      <w:start w:val="1"/>
      <w:numFmt w:val="bullet"/>
      <w:lvlText w:val="•"/>
      <w:lvlJc w:val="left"/>
      <w:pPr>
        <w:tabs>
          <w:tab w:val="num" w:pos="1440"/>
        </w:tabs>
        <w:ind w:left="1440" w:hanging="360"/>
      </w:pPr>
      <w:rPr>
        <w:rFonts w:ascii="Arial" w:hAnsi="Arial" w:hint="default"/>
      </w:rPr>
    </w:lvl>
    <w:lvl w:ilvl="2" w:tplc="A7E80CC8" w:tentative="1">
      <w:start w:val="1"/>
      <w:numFmt w:val="bullet"/>
      <w:lvlText w:val="•"/>
      <w:lvlJc w:val="left"/>
      <w:pPr>
        <w:tabs>
          <w:tab w:val="num" w:pos="2160"/>
        </w:tabs>
        <w:ind w:left="2160" w:hanging="360"/>
      </w:pPr>
      <w:rPr>
        <w:rFonts w:ascii="Arial" w:hAnsi="Arial" w:hint="default"/>
      </w:rPr>
    </w:lvl>
    <w:lvl w:ilvl="3" w:tplc="BA28266A">
      <w:start w:val="1"/>
      <w:numFmt w:val="bullet"/>
      <w:lvlText w:val="•"/>
      <w:lvlJc w:val="left"/>
      <w:pPr>
        <w:tabs>
          <w:tab w:val="num" w:pos="2880"/>
        </w:tabs>
        <w:ind w:left="2880" w:hanging="360"/>
      </w:pPr>
      <w:rPr>
        <w:rFonts w:ascii="Arial" w:hAnsi="Arial" w:hint="default"/>
      </w:rPr>
    </w:lvl>
    <w:lvl w:ilvl="4" w:tplc="1DD01DF2" w:tentative="1">
      <w:start w:val="1"/>
      <w:numFmt w:val="bullet"/>
      <w:lvlText w:val="•"/>
      <w:lvlJc w:val="left"/>
      <w:pPr>
        <w:tabs>
          <w:tab w:val="num" w:pos="3600"/>
        </w:tabs>
        <w:ind w:left="3600" w:hanging="360"/>
      </w:pPr>
      <w:rPr>
        <w:rFonts w:ascii="Arial" w:hAnsi="Arial" w:hint="default"/>
      </w:rPr>
    </w:lvl>
    <w:lvl w:ilvl="5" w:tplc="12769BA0" w:tentative="1">
      <w:start w:val="1"/>
      <w:numFmt w:val="bullet"/>
      <w:lvlText w:val="•"/>
      <w:lvlJc w:val="left"/>
      <w:pPr>
        <w:tabs>
          <w:tab w:val="num" w:pos="4320"/>
        </w:tabs>
        <w:ind w:left="4320" w:hanging="360"/>
      </w:pPr>
      <w:rPr>
        <w:rFonts w:ascii="Arial" w:hAnsi="Arial" w:hint="default"/>
      </w:rPr>
    </w:lvl>
    <w:lvl w:ilvl="6" w:tplc="B4326F1C" w:tentative="1">
      <w:start w:val="1"/>
      <w:numFmt w:val="bullet"/>
      <w:lvlText w:val="•"/>
      <w:lvlJc w:val="left"/>
      <w:pPr>
        <w:tabs>
          <w:tab w:val="num" w:pos="5040"/>
        </w:tabs>
        <w:ind w:left="5040" w:hanging="360"/>
      </w:pPr>
      <w:rPr>
        <w:rFonts w:ascii="Arial" w:hAnsi="Arial" w:hint="default"/>
      </w:rPr>
    </w:lvl>
    <w:lvl w:ilvl="7" w:tplc="E46241CC" w:tentative="1">
      <w:start w:val="1"/>
      <w:numFmt w:val="bullet"/>
      <w:lvlText w:val="•"/>
      <w:lvlJc w:val="left"/>
      <w:pPr>
        <w:tabs>
          <w:tab w:val="num" w:pos="5760"/>
        </w:tabs>
        <w:ind w:left="5760" w:hanging="360"/>
      </w:pPr>
      <w:rPr>
        <w:rFonts w:ascii="Arial" w:hAnsi="Arial" w:hint="default"/>
      </w:rPr>
    </w:lvl>
    <w:lvl w:ilvl="8" w:tplc="C4407E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42E5C9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4B245DA3"/>
    <w:multiLevelType w:val="hybridMultilevel"/>
    <w:tmpl w:val="0CA8F4FC"/>
    <w:lvl w:ilvl="0" w:tplc="18DAD718">
      <w:start w:val="1"/>
      <w:numFmt w:val="bullet"/>
      <w:lvlText w:val="•"/>
      <w:lvlJc w:val="left"/>
      <w:pPr>
        <w:tabs>
          <w:tab w:val="num" w:pos="720"/>
        </w:tabs>
        <w:ind w:left="720" w:hanging="360"/>
      </w:pPr>
      <w:rPr>
        <w:rFonts w:ascii="Arial" w:hAnsi="Arial" w:hint="default"/>
      </w:rPr>
    </w:lvl>
    <w:lvl w:ilvl="1" w:tplc="42287B8E">
      <w:start w:val="210"/>
      <w:numFmt w:val="bullet"/>
      <w:lvlText w:val="–"/>
      <w:lvlJc w:val="left"/>
      <w:pPr>
        <w:tabs>
          <w:tab w:val="num" w:pos="1440"/>
        </w:tabs>
        <w:ind w:left="1440" w:hanging="360"/>
      </w:pPr>
      <w:rPr>
        <w:rFonts w:ascii="Arial" w:hAnsi="Arial" w:hint="default"/>
      </w:rPr>
    </w:lvl>
    <w:lvl w:ilvl="2" w:tplc="60C6FEBA" w:tentative="1">
      <w:start w:val="1"/>
      <w:numFmt w:val="bullet"/>
      <w:lvlText w:val="•"/>
      <w:lvlJc w:val="left"/>
      <w:pPr>
        <w:tabs>
          <w:tab w:val="num" w:pos="2160"/>
        </w:tabs>
        <w:ind w:left="2160" w:hanging="360"/>
      </w:pPr>
      <w:rPr>
        <w:rFonts w:ascii="Arial" w:hAnsi="Arial" w:hint="default"/>
      </w:rPr>
    </w:lvl>
    <w:lvl w:ilvl="3" w:tplc="B4C80D8C" w:tentative="1">
      <w:start w:val="1"/>
      <w:numFmt w:val="bullet"/>
      <w:lvlText w:val="•"/>
      <w:lvlJc w:val="left"/>
      <w:pPr>
        <w:tabs>
          <w:tab w:val="num" w:pos="2880"/>
        </w:tabs>
        <w:ind w:left="2880" w:hanging="360"/>
      </w:pPr>
      <w:rPr>
        <w:rFonts w:ascii="Arial" w:hAnsi="Arial" w:hint="default"/>
      </w:rPr>
    </w:lvl>
    <w:lvl w:ilvl="4" w:tplc="3872C094" w:tentative="1">
      <w:start w:val="1"/>
      <w:numFmt w:val="bullet"/>
      <w:lvlText w:val="•"/>
      <w:lvlJc w:val="left"/>
      <w:pPr>
        <w:tabs>
          <w:tab w:val="num" w:pos="3600"/>
        </w:tabs>
        <w:ind w:left="3600" w:hanging="360"/>
      </w:pPr>
      <w:rPr>
        <w:rFonts w:ascii="Arial" w:hAnsi="Arial" w:hint="default"/>
      </w:rPr>
    </w:lvl>
    <w:lvl w:ilvl="5" w:tplc="829E4610" w:tentative="1">
      <w:start w:val="1"/>
      <w:numFmt w:val="bullet"/>
      <w:lvlText w:val="•"/>
      <w:lvlJc w:val="left"/>
      <w:pPr>
        <w:tabs>
          <w:tab w:val="num" w:pos="4320"/>
        </w:tabs>
        <w:ind w:left="4320" w:hanging="360"/>
      </w:pPr>
      <w:rPr>
        <w:rFonts w:ascii="Arial" w:hAnsi="Arial" w:hint="default"/>
      </w:rPr>
    </w:lvl>
    <w:lvl w:ilvl="6" w:tplc="664A8E28" w:tentative="1">
      <w:start w:val="1"/>
      <w:numFmt w:val="bullet"/>
      <w:lvlText w:val="•"/>
      <w:lvlJc w:val="left"/>
      <w:pPr>
        <w:tabs>
          <w:tab w:val="num" w:pos="5040"/>
        </w:tabs>
        <w:ind w:left="5040" w:hanging="360"/>
      </w:pPr>
      <w:rPr>
        <w:rFonts w:ascii="Arial" w:hAnsi="Arial" w:hint="default"/>
      </w:rPr>
    </w:lvl>
    <w:lvl w:ilvl="7" w:tplc="376A6B8E" w:tentative="1">
      <w:start w:val="1"/>
      <w:numFmt w:val="bullet"/>
      <w:lvlText w:val="•"/>
      <w:lvlJc w:val="left"/>
      <w:pPr>
        <w:tabs>
          <w:tab w:val="num" w:pos="5760"/>
        </w:tabs>
        <w:ind w:left="5760" w:hanging="360"/>
      </w:pPr>
      <w:rPr>
        <w:rFonts w:ascii="Arial" w:hAnsi="Arial" w:hint="default"/>
      </w:rPr>
    </w:lvl>
    <w:lvl w:ilvl="8" w:tplc="96466DF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40176A9"/>
    <w:multiLevelType w:val="hybridMultilevel"/>
    <w:tmpl w:val="08586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913007"/>
    <w:multiLevelType w:val="hybridMultilevel"/>
    <w:tmpl w:val="91D62F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A33DAD"/>
    <w:multiLevelType w:val="hybridMultilevel"/>
    <w:tmpl w:val="9BB28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0D0381"/>
    <w:multiLevelType w:val="hybridMultilevel"/>
    <w:tmpl w:val="4F9A4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8"/>
  </w:num>
  <w:num w:numId="4">
    <w:abstractNumId w:val="1"/>
  </w:num>
  <w:num w:numId="5">
    <w:abstractNumId w:val="17"/>
  </w:num>
  <w:num w:numId="6">
    <w:abstractNumId w:val="4"/>
  </w:num>
  <w:num w:numId="7">
    <w:abstractNumId w:val="10"/>
  </w:num>
  <w:num w:numId="8">
    <w:abstractNumId w:val="11"/>
  </w:num>
  <w:num w:numId="9">
    <w:abstractNumId w:val="14"/>
  </w:num>
  <w:num w:numId="10">
    <w:abstractNumId w:val="5"/>
  </w:num>
  <w:num w:numId="11">
    <w:abstractNumId w:val="9"/>
  </w:num>
  <w:num w:numId="12">
    <w:abstractNumId w:val="11"/>
  </w:num>
  <w:num w:numId="13">
    <w:abstractNumId w:val="13"/>
  </w:num>
  <w:num w:numId="14">
    <w:abstractNumId w:val="15"/>
  </w:num>
  <w:num w:numId="15">
    <w:abstractNumId w:val="3"/>
  </w:num>
  <w:num w:numId="16">
    <w:abstractNumId w:val="12"/>
  </w:num>
  <w:num w:numId="17">
    <w:abstractNumId w:val="2"/>
  </w:num>
  <w:num w:numId="18">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7FF"/>
    <w:rsid w:val="00013B63"/>
    <w:rsid w:val="00014035"/>
    <w:rsid w:val="000141F0"/>
    <w:rsid w:val="00015204"/>
    <w:rsid w:val="00015327"/>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2E68"/>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0B2"/>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775"/>
    <w:rsid w:val="00076D63"/>
    <w:rsid w:val="00077579"/>
    <w:rsid w:val="00077A78"/>
    <w:rsid w:val="00080170"/>
    <w:rsid w:val="000805B2"/>
    <w:rsid w:val="00080786"/>
    <w:rsid w:val="00080D74"/>
    <w:rsid w:val="00081070"/>
    <w:rsid w:val="00082152"/>
    <w:rsid w:val="000826FF"/>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8BF"/>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44"/>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211"/>
    <w:rsid w:val="000C133A"/>
    <w:rsid w:val="000C15EE"/>
    <w:rsid w:val="000C1DBD"/>
    <w:rsid w:val="000C1F69"/>
    <w:rsid w:val="000C23A6"/>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292"/>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3CB"/>
    <w:rsid w:val="000F55A9"/>
    <w:rsid w:val="000F5F71"/>
    <w:rsid w:val="000F61C4"/>
    <w:rsid w:val="000F6646"/>
    <w:rsid w:val="000F6881"/>
    <w:rsid w:val="000F6C32"/>
    <w:rsid w:val="000F6D9F"/>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979"/>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7AA"/>
    <w:rsid w:val="00155839"/>
    <w:rsid w:val="00155B92"/>
    <w:rsid w:val="00155F7A"/>
    <w:rsid w:val="00156260"/>
    <w:rsid w:val="0015674F"/>
    <w:rsid w:val="0015698B"/>
    <w:rsid w:val="0015722A"/>
    <w:rsid w:val="0016019C"/>
    <w:rsid w:val="00160674"/>
    <w:rsid w:val="00160786"/>
    <w:rsid w:val="00160D15"/>
    <w:rsid w:val="00160D2A"/>
    <w:rsid w:val="0016117C"/>
    <w:rsid w:val="001613AD"/>
    <w:rsid w:val="001616AF"/>
    <w:rsid w:val="001618A3"/>
    <w:rsid w:val="0016223A"/>
    <w:rsid w:val="00162262"/>
    <w:rsid w:val="00162BD5"/>
    <w:rsid w:val="00162CF1"/>
    <w:rsid w:val="00162D45"/>
    <w:rsid w:val="00162F82"/>
    <w:rsid w:val="001630E4"/>
    <w:rsid w:val="001634E7"/>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B5A"/>
    <w:rsid w:val="00175E60"/>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73"/>
    <w:rsid w:val="001925E5"/>
    <w:rsid w:val="00192A10"/>
    <w:rsid w:val="00192D98"/>
    <w:rsid w:val="00193747"/>
    <w:rsid w:val="00193987"/>
    <w:rsid w:val="00193A83"/>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2DF"/>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0"/>
    <w:rsid w:val="001E1284"/>
    <w:rsid w:val="001E13E0"/>
    <w:rsid w:val="001E1524"/>
    <w:rsid w:val="001E1D3C"/>
    <w:rsid w:val="001E1F8B"/>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2E"/>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D3C"/>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41B"/>
    <w:rsid w:val="002409A7"/>
    <w:rsid w:val="00240A69"/>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BCF"/>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701"/>
    <w:rsid w:val="00265C3B"/>
    <w:rsid w:val="00265D41"/>
    <w:rsid w:val="00265E9A"/>
    <w:rsid w:val="00266210"/>
    <w:rsid w:val="00266427"/>
    <w:rsid w:val="00267026"/>
    <w:rsid w:val="0026716C"/>
    <w:rsid w:val="00267959"/>
    <w:rsid w:val="00267D2F"/>
    <w:rsid w:val="00270C63"/>
    <w:rsid w:val="00270C70"/>
    <w:rsid w:val="00270C98"/>
    <w:rsid w:val="00270E57"/>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BE8"/>
    <w:rsid w:val="00284E7F"/>
    <w:rsid w:val="002851CC"/>
    <w:rsid w:val="00285520"/>
    <w:rsid w:val="00285894"/>
    <w:rsid w:val="00285E28"/>
    <w:rsid w:val="00286432"/>
    <w:rsid w:val="00286487"/>
    <w:rsid w:val="00286631"/>
    <w:rsid w:val="00286B14"/>
    <w:rsid w:val="00286DD8"/>
    <w:rsid w:val="00286ED5"/>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3E"/>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A9"/>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B93"/>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3F1"/>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3E0"/>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E9"/>
    <w:rsid w:val="003643FD"/>
    <w:rsid w:val="00364A63"/>
    <w:rsid w:val="003654DA"/>
    <w:rsid w:val="00366AD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4C26"/>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8EA"/>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E2A"/>
    <w:rsid w:val="00412F8D"/>
    <w:rsid w:val="00413369"/>
    <w:rsid w:val="00413E02"/>
    <w:rsid w:val="004140E7"/>
    <w:rsid w:val="00414129"/>
    <w:rsid w:val="004145AE"/>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352"/>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AD2"/>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E02"/>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4FFB"/>
    <w:rsid w:val="004A5270"/>
    <w:rsid w:val="004A5667"/>
    <w:rsid w:val="004A57FC"/>
    <w:rsid w:val="004A5F92"/>
    <w:rsid w:val="004A64EF"/>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2F70"/>
    <w:rsid w:val="004B385B"/>
    <w:rsid w:val="004B3C3F"/>
    <w:rsid w:val="004B439C"/>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D4"/>
    <w:rsid w:val="004C3C51"/>
    <w:rsid w:val="004C3FEE"/>
    <w:rsid w:val="004C40D3"/>
    <w:rsid w:val="004C4384"/>
    <w:rsid w:val="004C4663"/>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CA"/>
    <w:rsid w:val="005035E7"/>
    <w:rsid w:val="005038A7"/>
    <w:rsid w:val="00503C88"/>
    <w:rsid w:val="00503DCD"/>
    <w:rsid w:val="00503FAD"/>
    <w:rsid w:val="00504639"/>
    <w:rsid w:val="00504C3F"/>
    <w:rsid w:val="005050F8"/>
    <w:rsid w:val="005057BD"/>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9FF"/>
    <w:rsid w:val="00517B28"/>
    <w:rsid w:val="0052001B"/>
    <w:rsid w:val="005205C8"/>
    <w:rsid w:val="00521077"/>
    <w:rsid w:val="00521D65"/>
    <w:rsid w:val="00521F19"/>
    <w:rsid w:val="005221A4"/>
    <w:rsid w:val="00522F19"/>
    <w:rsid w:val="00522FEF"/>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B74"/>
    <w:rsid w:val="00531CA9"/>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FF4"/>
    <w:rsid w:val="005531F6"/>
    <w:rsid w:val="00553F00"/>
    <w:rsid w:val="0055410A"/>
    <w:rsid w:val="005547B9"/>
    <w:rsid w:val="005547CB"/>
    <w:rsid w:val="00554DB6"/>
    <w:rsid w:val="00554DF7"/>
    <w:rsid w:val="00554E5A"/>
    <w:rsid w:val="00555675"/>
    <w:rsid w:val="0055569E"/>
    <w:rsid w:val="00555713"/>
    <w:rsid w:val="00555772"/>
    <w:rsid w:val="00555D6F"/>
    <w:rsid w:val="00555DC4"/>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3DC"/>
    <w:rsid w:val="0056477B"/>
    <w:rsid w:val="005649E9"/>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9D9"/>
    <w:rsid w:val="00584D31"/>
    <w:rsid w:val="00584DB8"/>
    <w:rsid w:val="005854EF"/>
    <w:rsid w:val="00585821"/>
    <w:rsid w:val="00585932"/>
    <w:rsid w:val="00585C3A"/>
    <w:rsid w:val="0058628A"/>
    <w:rsid w:val="005863AF"/>
    <w:rsid w:val="005867F7"/>
    <w:rsid w:val="00586897"/>
    <w:rsid w:val="00587117"/>
    <w:rsid w:val="00587203"/>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29C8"/>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107A"/>
    <w:rsid w:val="005B17EB"/>
    <w:rsid w:val="005B1B01"/>
    <w:rsid w:val="005B1C8E"/>
    <w:rsid w:val="005B1EB5"/>
    <w:rsid w:val="005B2D4D"/>
    <w:rsid w:val="005B2EB8"/>
    <w:rsid w:val="005B3041"/>
    <w:rsid w:val="005B34BD"/>
    <w:rsid w:val="005B355C"/>
    <w:rsid w:val="005B3715"/>
    <w:rsid w:val="005B3C58"/>
    <w:rsid w:val="005B3C7C"/>
    <w:rsid w:val="005B45E1"/>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3DE9"/>
    <w:rsid w:val="005D4261"/>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8F3"/>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E64"/>
    <w:rsid w:val="00627BA3"/>
    <w:rsid w:val="00627C39"/>
    <w:rsid w:val="00627E44"/>
    <w:rsid w:val="006300D7"/>
    <w:rsid w:val="0063046A"/>
    <w:rsid w:val="006307B0"/>
    <w:rsid w:val="00630DBB"/>
    <w:rsid w:val="00631007"/>
    <w:rsid w:val="006317DB"/>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A0B"/>
    <w:rsid w:val="00642D10"/>
    <w:rsid w:val="00643769"/>
    <w:rsid w:val="006437A9"/>
    <w:rsid w:val="00643973"/>
    <w:rsid w:val="00644177"/>
    <w:rsid w:val="00644200"/>
    <w:rsid w:val="0064428B"/>
    <w:rsid w:val="00644511"/>
    <w:rsid w:val="0064486C"/>
    <w:rsid w:val="00644E60"/>
    <w:rsid w:val="00644F00"/>
    <w:rsid w:val="006457B7"/>
    <w:rsid w:val="00646E2C"/>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35B"/>
    <w:rsid w:val="00656D6F"/>
    <w:rsid w:val="00656E70"/>
    <w:rsid w:val="00657005"/>
    <w:rsid w:val="006578D9"/>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61F"/>
    <w:rsid w:val="00666948"/>
    <w:rsid w:val="00666C94"/>
    <w:rsid w:val="0066712F"/>
    <w:rsid w:val="006672FC"/>
    <w:rsid w:val="0066736D"/>
    <w:rsid w:val="00667A27"/>
    <w:rsid w:val="00670450"/>
    <w:rsid w:val="006704BF"/>
    <w:rsid w:val="00670AD6"/>
    <w:rsid w:val="00670D20"/>
    <w:rsid w:val="00670ECD"/>
    <w:rsid w:val="006710F4"/>
    <w:rsid w:val="006713FE"/>
    <w:rsid w:val="00671773"/>
    <w:rsid w:val="00671C8F"/>
    <w:rsid w:val="006723C8"/>
    <w:rsid w:val="006724CA"/>
    <w:rsid w:val="00672605"/>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652"/>
    <w:rsid w:val="006757DC"/>
    <w:rsid w:val="0067656D"/>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4A3"/>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63A2"/>
    <w:rsid w:val="006B6AD0"/>
    <w:rsid w:val="006B6BA3"/>
    <w:rsid w:val="006B6C95"/>
    <w:rsid w:val="006B725C"/>
    <w:rsid w:val="006B785D"/>
    <w:rsid w:val="006B7864"/>
    <w:rsid w:val="006B789D"/>
    <w:rsid w:val="006B7953"/>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8A7"/>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844"/>
    <w:rsid w:val="006F3B01"/>
    <w:rsid w:val="006F3BDF"/>
    <w:rsid w:val="006F4072"/>
    <w:rsid w:val="006F4189"/>
    <w:rsid w:val="006F4A19"/>
    <w:rsid w:val="006F557B"/>
    <w:rsid w:val="006F5B41"/>
    <w:rsid w:val="006F6689"/>
    <w:rsid w:val="006F6740"/>
    <w:rsid w:val="006F7181"/>
    <w:rsid w:val="006F7386"/>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843"/>
    <w:rsid w:val="00710905"/>
    <w:rsid w:val="00710994"/>
    <w:rsid w:val="007109CD"/>
    <w:rsid w:val="00710A3E"/>
    <w:rsid w:val="00710BCF"/>
    <w:rsid w:val="00710D33"/>
    <w:rsid w:val="00710E31"/>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2666"/>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3A8"/>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270"/>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C"/>
    <w:rsid w:val="007C0880"/>
    <w:rsid w:val="007C0BD2"/>
    <w:rsid w:val="007C0CF6"/>
    <w:rsid w:val="007C0E34"/>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2C0"/>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850"/>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B60"/>
    <w:rsid w:val="00854CFB"/>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B97"/>
    <w:rsid w:val="00874D5F"/>
    <w:rsid w:val="00874E33"/>
    <w:rsid w:val="00874FAC"/>
    <w:rsid w:val="0087504C"/>
    <w:rsid w:val="00875905"/>
    <w:rsid w:val="00875E7F"/>
    <w:rsid w:val="00875F79"/>
    <w:rsid w:val="00875FBD"/>
    <w:rsid w:val="00876586"/>
    <w:rsid w:val="00876AC7"/>
    <w:rsid w:val="00876B78"/>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D18"/>
    <w:rsid w:val="00883D70"/>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771"/>
    <w:rsid w:val="00887A19"/>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6BB"/>
    <w:rsid w:val="00894C16"/>
    <w:rsid w:val="00894C3B"/>
    <w:rsid w:val="00894D6C"/>
    <w:rsid w:val="00894FEF"/>
    <w:rsid w:val="00895243"/>
    <w:rsid w:val="008953FF"/>
    <w:rsid w:val="00895713"/>
    <w:rsid w:val="00895A0C"/>
    <w:rsid w:val="0089622F"/>
    <w:rsid w:val="00896377"/>
    <w:rsid w:val="00896A6F"/>
    <w:rsid w:val="00896CAA"/>
    <w:rsid w:val="00896D10"/>
    <w:rsid w:val="00896DF5"/>
    <w:rsid w:val="008970EB"/>
    <w:rsid w:val="008A0019"/>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6D29"/>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4ECE"/>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74B"/>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2BE"/>
    <w:rsid w:val="0091080C"/>
    <w:rsid w:val="009108A7"/>
    <w:rsid w:val="00910ED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17E02"/>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5E6C"/>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072E"/>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10C5"/>
    <w:rsid w:val="009B112A"/>
    <w:rsid w:val="009B25DC"/>
    <w:rsid w:val="009B281D"/>
    <w:rsid w:val="009B3221"/>
    <w:rsid w:val="009B33F1"/>
    <w:rsid w:val="009B346F"/>
    <w:rsid w:val="009B3745"/>
    <w:rsid w:val="009B3B9C"/>
    <w:rsid w:val="009B3C79"/>
    <w:rsid w:val="009B4821"/>
    <w:rsid w:val="009B4BED"/>
    <w:rsid w:val="009B4C24"/>
    <w:rsid w:val="009B5821"/>
    <w:rsid w:val="009B59B0"/>
    <w:rsid w:val="009B5E51"/>
    <w:rsid w:val="009B616B"/>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81C"/>
    <w:rsid w:val="009C3D88"/>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38D"/>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928"/>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141F"/>
    <w:rsid w:val="00A71CDC"/>
    <w:rsid w:val="00A71D6B"/>
    <w:rsid w:val="00A723F7"/>
    <w:rsid w:val="00A72ADE"/>
    <w:rsid w:val="00A72CE0"/>
    <w:rsid w:val="00A734AF"/>
    <w:rsid w:val="00A73873"/>
    <w:rsid w:val="00A73D8D"/>
    <w:rsid w:val="00A744A2"/>
    <w:rsid w:val="00A745D9"/>
    <w:rsid w:val="00A74C89"/>
    <w:rsid w:val="00A74E04"/>
    <w:rsid w:val="00A74F6C"/>
    <w:rsid w:val="00A750B1"/>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28B0"/>
    <w:rsid w:val="00AF2D55"/>
    <w:rsid w:val="00AF2DED"/>
    <w:rsid w:val="00AF36DB"/>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A6A"/>
    <w:rsid w:val="00B03D26"/>
    <w:rsid w:val="00B03E1C"/>
    <w:rsid w:val="00B04828"/>
    <w:rsid w:val="00B04D36"/>
    <w:rsid w:val="00B04F11"/>
    <w:rsid w:val="00B052E4"/>
    <w:rsid w:val="00B054CE"/>
    <w:rsid w:val="00B05688"/>
    <w:rsid w:val="00B0595F"/>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4059"/>
    <w:rsid w:val="00B2451D"/>
    <w:rsid w:val="00B24B81"/>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620"/>
    <w:rsid w:val="00B35643"/>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7861"/>
    <w:rsid w:val="00B57D57"/>
    <w:rsid w:val="00B57F8B"/>
    <w:rsid w:val="00B6015E"/>
    <w:rsid w:val="00B6022F"/>
    <w:rsid w:val="00B604C4"/>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0FA1"/>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035C"/>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DDC"/>
    <w:rsid w:val="00BD013E"/>
    <w:rsid w:val="00BD01AA"/>
    <w:rsid w:val="00BD07D4"/>
    <w:rsid w:val="00BD081B"/>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69D"/>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2E"/>
    <w:rsid w:val="00BF31B5"/>
    <w:rsid w:val="00BF31CB"/>
    <w:rsid w:val="00BF334F"/>
    <w:rsid w:val="00BF3A41"/>
    <w:rsid w:val="00BF3C10"/>
    <w:rsid w:val="00BF3FFA"/>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53D"/>
    <w:rsid w:val="00C55ADC"/>
    <w:rsid w:val="00C55B02"/>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488"/>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3E22"/>
    <w:rsid w:val="00C85253"/>
    <w:rsid w:val="00C8534D"/>
    <w:rsid w:val="00C86131"/>
    <w:rsid w:val="00C8624E"/>
    <w:rsid w:val="00C86379"/>
    <w:rsid w:val="00C864C3"/>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4508"/>
    <w:rsid w:val="00C945A6"/>
    <w:rsid w:val="00C945EC"/>
    <w:rsid w:val="00C94C81"/>
    <w:rsid w:val="00C94E45"/>
    <w:rsid w:val="00C9530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5A88"/>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7EE"/>
    <w:rsid w:val="00D0181F"/>
    <w:rsid w:val="00D0182B"/>
    <w:rsid w:val="00D0186E"/>
    <w:rsid w:val="00D01C73"/>
    <w:rsid w:val="00D01E6B"/>
    <w:rsid w:val="00D01F7D"/>
    <w:rsid w:val="00D02369"/>
    <w:rsid w:val="00D02592"/>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A5"/>
    <w:rsid w:val="00D61834"/>
    <w:rsid w:val="00D61ABC"/>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4E3B"/>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909"/>
    <w:rsid w:val="00D83B14"/>
    <w:rsid w:val="00D83EE4"/>
    <w:rsid w:val="00D84268"/>
    <w:rsid w:val="00D84464"/>
    <w:rsid w:val="00D846C5"/>
    <w:rsid w:val="00D853C3"/>
    <w:rsid w:val="00D8588D"/>
    <w:rsid w:val="00D85C44"/>
    <w:rsid w:val="00D86343"/>
    <w:rsid w:val="00D86B37"/>
    <w:rsid w:val="00D86B9D"/>
    <w:rsid w:val="00D86ED1"/>
    <w:rsid w:val="00D87154"/>
    <w:rsid w:val="00D8757E"/>
    <w:rsid w:val="00D8778A"/>
    <w:rsid w:val="00D87F82"/>
    <w:rsid w:val="00D91009"/>
    <w:rsid w:val="00D9120D"/>
    <w:rsid w:val="00D9126A"/>
    <w:rsid w:val="00D912DF"/>
    <w:rsid w:val="00D9160F"/>
    <w:rsid w:val="00D9163E"/>
    <w:rsid w:val="00D918F0"/>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84F"/>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535"/>
    <w:rsid w:val="00DB777F"/>
    <w:rsid w:val="00DB79CC"/>
    <w:rsid w:val="00DB7E8C"/>
    <w:rsid w:val="00DC0715"/>
    <w:rsid w:val="00DC0856"/>
    <w:rsid w:val="00DC0F93"/>
    <w:rsid w:val="00DC12FB"/>
    <w:rsid w:val="00DC1384"/>
    <w:rsid w:val="00DC13D4"/>
    <w:rsid w:val="00DC1479"/>
    <w:rsid w:val="00DC1624"/>
    <w:rsid w:val="00DC162B"/>
    <w:rsid w:val="00DC1763"/>
    <w:rsid w:val="00DC2188"/>
    <w:rsid w:val="00DC22B7"/>
    <w:rsid w:val="00DC257F"/>
    <w:rsid w:val="00DC2898"/>
    <w:rsid w:val="00DC28A6"/>
    <w:rsid w:val="00DC28EC"/>
    <w:rsid w:val="00DC2D67"/>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96E"/>
    <w:rsid w:val="00DE5E4B"/>
    <w:rsid w:val="00DE603C"/>
    <w:rsid w:val="00DE61AA"/>
    <w:rsid w:val="00DE629B"/>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4BE"/>
    <w:rsid w:val="00DF5759"/>
    <w:rsid w:val="00DF6014"/>
    <w:rsid w:val="00DF6154"/>
    <w:rsid w:val="00DF6824"/>
    <w:rsid w:val="00DF6D9C"/>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0C82"/>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3E6"/>
    <w:rsid w:val="00E2446F"/>
    <w:rsid w:val="00E250DB"/>
    <w:rsid w:val="00E259BD"/>
    <w:rsid w:val="00E25F49"/>
    <w:rsid w:val="00E2617B"/>
    <w:rsid w:val="00E26295"/>
    <w:rsid w:val="00E264F5"/>
    <w:rsid w:val="00E2690E"/>
    <w:rsid w:val="00E272FE"/>
    <w:rsid w:val="00E27AA2"/>
    <w:rsid w:val="00E27E5C"/>
    <w:rsid w:val="00E3014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77BF"/>
    <w:rsid w:val="00E37C25"/>
    <w:rsid w:val="00E37FDC"/>
    <w:rsid w:val="00E40362"/>
    <w:rsid w:val="00E40DAE"/>
    <w:rsid w:val="00E41479"/>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627"/>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6A4"/>
    <w:rsid w:val="00E63AF2"/>
    <w:rsid w:val="00E63F57"/>
    <w:rsid w:val="00E6412A"/>
    <w:rsid w:val="00E64286"/>
    <w:rsid w:val="00E64763"/>
    <w:rsid w:val="00E64C11"/>
    <w:rsid w:val="00E65321"/>
    <w:rsid w:val="00E65E39"/>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87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5B5"/>
    <w:rsid w:val="00F15860"/>
    <w:rsid w:val="00F1698C"/>
    <w:rsid w:val="00F16BB1"/>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E0C"/>
    <w:rsid w:val="00F27EF4"/>
    <w:rsid w:val="00F3002F"/>
    <w:rsid w:val="00F30031"/>
    <w:rsid w:val="00F30353"/>
    <w:rsid w:val="00F308C0"/>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6CCB"/>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1FC9"/>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07E"/>
    <w:rsid w:val="00F975B5"/>
    <w:rsid w:val="00F97D3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5D8"/>
    <w:rsid w:val="00FC2742"/>
    <w:rsid w:val="00FC27DB"/>
    <w:rsid w:val="00FC330F"/>
    <w:rsid w:val="00FC37E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FE2EF6"/>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C1211"/>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8"/>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4302917">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893817">
      <w:bodyDiv w:val="1"/>
      <w:marLeft w:val="0"/>
      <w:marRight w:val="0"/>
      <w:marTop w:val="0"/>
      <w:marBottom w:val="0"/>
      <w:divBdr>
        <w:top w:val="none" w:sz="0" w:space="0" w:color="auto"/>
        <w:left w:val="none" w:sz="0" w:space="0" w:color="auto"/>
        <w:bottom w:val="none" w:sz="0" w:space="0" w:color="auto"/>
        <w:right w:val="none" w:sz="0" w:space="0" w:color="auto"/>
      </w:divBdr>
      <w:divsChild>
        <w:div w:id="1284187112">
          <w:marLeft w:val="360"/>
          <w:marRight w:val="0"/>
          <w:marTop w:val="200"/>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2002142">
      <w:bodyDiv w:val="1"/>
      <w:marLeft w:val="0"/>
      <w:marRight w:val="0"/>
      <w:marTop w:val="0"/>
      <w:marBottom w:val="0"/>
      <w:divBdr>
        <w:top w:val="none" w:sz="0" w:space="0" w:color="auto"/>
        <w:left w:val="none" w:sz="0" w:space="0" w:color="auto"/>
        <w:bottom w:val="none" w:sz="0" w:space="0" w:color="auto"/>
        <w:right w:val="none" w:sz="0" w:space="0" w:color="auto"/>
      </w:divBdr>
      <w:divsChild>
        <w:div w:id="678966109">
          <w:marLeft w:val="108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63176666">
      <w:bodyDiv w:val="1"/>
      <w:marLeft w:val="0"/>
      <w:marRight w:val="0"/>
      <w:marTop w:val="0"/>
      <w:marBottom w:val="0"/>
      <w:divBdr>
        <w:top w:val="none" w:sz="0" w:space="0" w:color="auto"/>
        <w:left w:val="none" w:sz="0" w:space="0" w:color="auto"/>
        <w:bottom w:val="none" w:sz="0" w:space="0" w:color="auto"/>
        <w:right w:val="none" w:sz="0" w:space="0" w:color="auto"/>
      </w:divBdr>
      <w:divsChild>
        <w:div w:id="1944992705">
          <w:marLeft w:val="360"/>
          <w:marRight w:val="0"/>
          <w:marTop w:val="200"/>
          <w:marBottom w:val="0"/>
          <w:divBdr>
            <w:top w:val="none" w:sz="0" w:space="0" w:color="auto"/>
            <w:left w:val="none" w:sz="0" w:space="0" w:color="auto"/>
            <w:bottom w:val="none" w:sz="0" w:space="0" w:color="auto"/>
            <w:right w:val="none" w:sz="0" w:space="0" w:color="auto"/>
          </w:divBdr>
        </w:div>
        <w:div w:id="187061107">
          <w:marLeft w:val="1080"/>
          <w:marRight w:val="0"/>
          <w:marTop w:val="100"/>
          <w:marBottom w:val="0"/>
          <w:divBdr>
            <w:top w:val="none" w:sz="0" w:space="0" w:color="auto"/>
            <w:left w:val="none" w:sz="0" w:space="0" w:color="auto"/>
            <w:bottom w:val="none" w:sz="0" w:space="0" w:color="auto"/>
            <w:right w:val="none" w:sz="0" w:space="0" w:color="auto"/>
          </w:divBdr>
        </w:div>
        <w:div w:id="530612110">
          <w:marLeft w:val="360"/>
          <w:marRight w:val="0"/>
          <w:marTop w:val="200"/>
          <w:marBottom w:val="0"/>
          <w:divBdr>
            <w:top w:val="none" w:sz="0" w:space="0" w:color="auto"/>
            <w:left w:val="none" w:sz="0" w:space="0" w:color="auto"/>
            <w:bottom w:val="none" w:sz="0" w:space="0" w:color="auto"/>
            <w:right w:val="none" w:sz="0" w:space="0" w:color="auto"/>
          </w:divBdr>
        </w:div>
      </w:divsChild>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18027624">
      <w:bodyDiv w:val="1"/>
      <w:marLeft w:val="0"/>
      <w:marRight w:val="0"/>
      <w:marTop w:val="0"/>
      <w:marBottom w:val="0"/>
      <w:divBdr>
        <w:top w:val="none" w:sz="0" w:space="0" w:color="auto"/>
        <w:left w:val="none" w:sz="0" w:space="0" w:color="auto"/>
        <w:bottom w:val="none" w:sz="0" w:space="0" w:color="auto"/>
        <w:right w:val="none" w:sz="0" w:space="0" w:color="auto"/>
      </w:divBdr>
      <w:divsChild>
        <w:div w:id="1021124284">
          <w:marLeft w:val="1080"/>
          <w:marRight w:val="0"/>
          <w:marTop w:val="100"/>
          <w:marBottom w:val="0"/>
          <w:divBdr>
            <w:top w:val="none" w:sz="0" w:space="0" w:color="auto"/>
            <w:left w:val="none" w:sz="0" w:space="0" w:color="auto"/>
            <w:bottom w:val="none" w:sz="0" w:space="0" w:color="auto"/>
            <w:right w:val="none" w:sz="0" w:space="0" w:color="auto"/>
          </w:divBdr>
        </w:div>
        <w:div w:id="1178155475">
          <w:marLeft w:val="1800"/>
          <w:marRight w:val="0"/>
          <w:marTop w:val="100"/>
          <w:marBottom w:val="0"/>
          <w:divBdr>
            <w:top w:val="none" w:sz="0" w:space="0" w:color="auto"/>
            <w:left w:val="none" w:sz="0" w:space="0" w:color="auto"/>
            <w:bottom w:val="none" w:sz="0" w:space="0" w:color="auto"/>
            <w:right w:val="none" w:sz="0" w:space="0" w:color="auto"/>
          </w:divBdr>
        </w:div>
        <w:div w:id="545220849">
          <w:marLeft w:val="1800"/>
          <w:marRight w:val="0"/>
          <w:marTop w:val="100"/>
          <w:marBottom w:val="0"/>
          <w:divBdr>
            <w:top w:val="none" w:sz="0" w:space="0" w:color="auto"/>
            <w:left w:val="none" w:sz="0" w:space="0" w:color="auto"/>
            <w:bottom w:val="none" w:sz="0" w:space="0" w:color="auto"/>
            <w:right w:val="none" w:sz="0" w:space="0" w:color="auto"/>
          </w:divBdr>
        </w:div>
        <w:div w:id="203686669">
          <w:marLeft w:val="1800"/>
          <w:marRight w:val="0"/>
          <w:marTop w:val="10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7901353">
      <w:bodyDiv w:val="1"/>
      <w:marLeft w:val="0"/>
      <w:marRight w:val="0"/>
      <w:marTop w:val="0"/>
      <w:marBottom w:val="0"/>
      <w:divBdr>
        <w:top w:val="none" w:sz="0" w:space="0" w:color="auto"/>
        <w:left w:val="none" w:sz="0" w:space="0" w:color="auto"/>
        <w:bottom w:val="none" w:sz="0" w:space="0" w:color="auto"/>
        <w:right w:val="none" w:sz="0" w:space="0" w:color="auto"/>
      </w:divBdr>
      <w:divsChild>
        <w:div w:id="1142380494">
          <w:marLeft w:val="360"/>
          <w:marRight w:val="0"/>
          <w:marTop w:val="200"/>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39712418">
      <w:bodyDiv w:val="1"/>
      <w:marLeft w:val="0"/>
      <w:marRight w:val="0"/>
      <w:marTop w:val="0"/>
      <w:marBottom w:val="0"/>
      <w:divBdr>
        <w:top w:val="none" w:sz="0" w:space="0" w:color="auto"/>
        <w:left w:val="none" w:sz="0" w:space="0" w:color="auto"/>
        <w:bottom w:val="none" w:sz="0" w:space="0" w:color="auto"/>
        <w:right w:val="none" w:sz="0" w:space="0" w:color="auto"/>
      </w:divBdr>
      <w:divsChild>
        <w:div w:id="2004815314">
          <w:marLeft w:val="360"/>
          <w:marRight w:val="0"/>
          <w:marTop w:val="200"/>
          <w:marBottom w:val="0"/>
          <w:divBdr>
            <w:top w:val="none" w:sz="0" w:space="0" w:color="auto"/>
            <w:left w:val="none" w:sz="0" w:space="0" w:color="auto"/>
            <w:bottom w:val="none" w:sz="0" w:space="0" w:color="auto"/>
            <w:right w:val="none" w:sz="0" w:space="0" w:color="auto"/>
          </w:divBdr>
        </w:div>
      </w:divsChild>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647136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256906">
      <w:bodyDiv w:val="1"/>
      <w:marLeft w:val="0"/>
      <w:marRight w:val="0"/>
      <w:marTop w:val="0"/>
      <w:marBottom w:val="0"/>
      <w:divBdr>
        <w:top w:val="none" w:sz="0" w:space="0" w:color="auto"/>
        <w:left w:val="none" w:sz="0" w:space="0" w:color="auto"/>
        <w:bottom w:val="none" w:sz="0" w:space="0" w:color="auto"/>
        <w:right w:val="none" w:sz="0" w:space="0" w:color="auto"/>
      </w:divBdr>
      <w:divsChild>
        <w:div w:id="200167914">
          <w:marLeft w:val="360"/>
          <w:marRight w:val="0"/>
          <w:marTop w:val="200"/>
          <w:marBottom w:val="0"/>
          <w:divBdr>
            <w:top w:val="none" w:sz="0" w:space="0" w:color="auto"/>
            <w:left w:val="none" w:sz="0" w:space="0" w:color="auto"/>
            <w:bottom w:val="none" w:sz="0" w:space="0" w:color="auto"/>
            <w:right w:val="none" w:sz="0" w:space="0" w:color="auto"/>
          </w:divBdr>
        </w:div>
        <w:div w:id="2017221102">
          <w:marLeft w:val="1080"/>
          <w:marRight w:val="0"/>
          <w:marTop w:val="100"/>
          <w:marBottom w:val="0"/>
          <w:divBdr>
            <w:top w:val="none" w:sz="0" w:space="0" w:color="auto"/>
            <w:left w:val="none" w:sz="0" w:space="0" w:color="auto"/>
            <w:bottom w:val="none" w:sz="0" w:space="0" w:color="auto"/>
            <w:right w:val="none" w:sz="0" w:space="0" w:color="auto"/>
          </w:divBdr>
        </w:div>
        <w:div w:id="788857475">
          <w:marLeft w:val="1080"/>
          <w:marRight w:val="0"/>
          <w:marTop w:val="100"/>
          <w:marBottom w:val="0"/>
          <w:divBdr>
            <w:top w:val="none" w:sz="0" w:space="0" w:color="auto"/>
            <w:left w:val="none" w:sz="0" w:space="0" w:color="auto"/>
            <w:bottom w:val="none" w:sz="0" w:space="0" w:color="auto"/>
            <w:right w:val="none" w:sz="0" w:space="0" w:color="auto"/>
          </w:divBdr>
        </w:div>
        <w:div w:id="267082092">
          <w:marLeft w:val="1080"/>
          <w:marRight w:val="0"/>
          <w:marTop w:val="100"/>
          <w:marBottom w:val="0"/>
          <w:divBdr>
            <w:top w:val="none" w:sz="0" w:space="0" w:color="auto"/>
            <w:left w:val="none" w:sz="0" w:space="0" w:color="auto"/>
            <w:bottom w:val="none" w:sz="0" w:space="0" w:color="auto"/>
            <w:right w:val="none" w:sz="0" w:space="0" w:color="auto"/>
          </w:divBdr>
        </w:div>
        <w:div w:id="1246719112">
          <w:marLeft w:val="1080"/>
          <w:marRight w:val="0"/>
          <w:marTop w:val="100"/>
          <w:marBottom w:val="0"/>
          <w:divBdr>
            <w:top w:val="none" w:sz="0" w:space="0" w:color="auto"/>
            <w:left w:val="none" w:sz="0" w:space="0" w:color="auto"/>
            <w:bottom w:val="none" w:sz="0" w:space="0" w:color="auto"/>
            <w:right w:val="none" w:sz="0" w:space="0" w:color="auto"/>
          </w:divBdr>
        </w:div>
        <w:div w:id="1937706800">
          <w:marLeft w:val="1080"/>
          <w:marRight w:val="0"/>
          <w:marTop w:val="100"/>
          <w:marBottom w:val="0"/>
          <w:divBdr>
            <w:top w:val="none" w:sz="0" w:space="0" w:color="auto"/>
            <w:left w:val="none" w:sz="0" w:space="0" w:color="auto"/>
            <w:bottom w:val="none" w:sz="0" w:space="0" w:color="auto"/>
            <w:right w:val="none" w:sz="0" w:space="0" w:color="auto"/>
          </w:divBdr>
        </w:div>
      </w:divsChild>
    </w:div>
    <w:div w:id="1135635517">
      <w:bodyDiv w:val="1"/>
      <w:marLeft w:val="0"/>
      <w:marRight w:val="0"/>
      <w:marTop w:val="0"/>
      <w:marBottom w:val="0"/>
      <w:divBdr>
        <w:top w:val="none" w:sz="0" w:space="0" w:color="auto"/>
        <w:left w:val="none" w:sz="0" w:space="0" w:color="auto"/>
        <w:bottom w:val="none" w:sz="0" w:space="0" w:color="auto"/>
        <w:right w:val="none" w:sz="0" w:space="0" w:color="auto"/>
      </w:divBdr>
      <w:divsChild>
        <w:div w:id="182985373">
          <w:marLeft w:val="360"/>
          <w:marRight w:val="0"/>
          <w:marTop w:val="200"/>
          <w:marBottom w:val="0"/>
          <w:divBdr>
            <w:top w:val="none" w:sz="0" w:space="0" w:color="auto"/>
            <w:left w:val="none" w:sz="0" w:space="0" w:color="auto"/>
            <w:bottom w:val="none" w:sz="0" w:space="0" w:color="auto"/>
            <w:right w:val="none" w:sz="0" w:space="0" w:color="auto"/>
          </w:divBdr>
        </w:div>
        <w:div w:id="1932854577">
          <w:marLeft w:val="360"/>
          <w:marRight w:val="0"/>
          <w:marTop w:val="200"/>
          <w:marBottom w:val="0"/>
          <w:divBdr>
            <w:top w:val="none" w:sz="0" w:space="0" w:color="auto"/>
            <w:left w:val="none" w:sz="0" w:space="0" w:color="auto"/>
            <w:bottom w:val="none" w:sz="0" w:space="0" w:color="auto"/>
            <w:right w:val="none" w:sz="0" w:space="0" w:color="auto"/>
          </w:divBdr>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94534485">
      <w:bodyDiv w:val="1"/>
      <w:marLeft w:val="0"/>
      <w:marRight w:val="0"/>
      <w:marTop w:val="0"/>
      <w:marBottom w:val="0"/>
      <w:divBdr>
        <w:top w:val="none" w:sz="0" w:space="0" w:color="auto"/>
        <w:left w:val="none" w:sz="0" w:space="0" w:color="auto"/>
        <w:bottom w:val="none" w:sz="0" w:space="0" w:color="auto"/>
        <w:right w:val="none" w:sz="0" w:space="0" w:color="auto"/>
      </w:divBdr>
      <w:divsChild>
        <w:div w:id="53819814">
          <w:marLeft w:val="360"/>
          <w:marRight w:val="0"/>
          <w:marTop w:val="200"/>
          <w:marBottom w:val="0"/>
          <w:divBdr>
            <w:top w:val="none" w:sz="0" w:space="0" w:color="auto"/>
            <w:left w:val="none" w:sz="0" w:space="0" w:color="auto"/>
            <w:bottom w:val="none" w:sz="0" w:space="0" w:color="auto"/>
            <w:right w:val="none" w:sz="0" w:space="0" w:color="auto"/>
          </w:divBdr>
        </w:div>
        <w:div w:id="1502308172">
          <w:marLeft w:val="1080"/>
          <w:marRight w:val="0"/>
          <w:marTop w:val="100"/>
          <w:marBottom w:val="0"/>
          <w:divBdr>
            <w:top w:val="none" w:sz="0" w:space="0" w:color="auto"/>
            <w:left w:val="none" w:sz="0" w:space="0" w:color="auto"/>
            <w:bottom w:val="none" w:sz="0" w:space="0" w:color="auto"/>
            <w:right w:val="none" w:sz="0" w:space="0" w:color="auto"/>
          </w:divBdr>
        </w:div>
        <w:div w:id="1137069987">
          <w:marLeft w:val="1080"/>
          <w:marRight w:val="0"/>
          <w:marTop w:val="100"/>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4505899">
      <w:bodyDiv w:val="1"/>
      <w:marLeft w:val="0"/>
      <w:marRight w:val="0"/>
      <w:marTop w:val="0"/>
      <w:marBottom w:val="0"/>
      <w:divBdr>
        <w:top w:val="none" w:sz="0" w:space="0" w:color="auto"/>
        <w:left w:val="none" w:sz="0" w:space="0" w:color="auto"/>
        <w:bottom w:val="none" w:sz="0" w:space="0" w:color="auto"/>
        <w:right w:val="none" w:sz="0" w:space="0" w:color="auto"/>
      </w:divBdr>
      <w:divsChild>
        <w:div w:id="568270782">
          <w:marLeft w:val="547"/>
          <w:marRight w:val="0"/>
          <w:marTop w:val="115"/>
          <w:marBottom w:val="0"/>
          <w:divBdr>
            <w:top w:val="none" w:sz="0" w:space="0" w:color="auto"/>
            <w:left w:val="none" w:sz="0" w:space="0" w:color="auto"/>
            <w:bottom w:val="none" w:sz="0" w:space="0" w:color="auto"/>
            <w:right w:val="none" w:sz="0" w:space="0" w:color="auto"/>
          </w:divBdr>
        </w:div>
        <w:div w:id="1765375147">
          <w:marLeft w:val="547"/>
          <w:marRight w:val="0"/>
          <w:marTop w:val="115"/>
          <w:marBottom w:val="0"/>
          <w:divBdr>
            <w:top w:val="none" w:sz="0" w:space="0" w:color="auto"/>
            <w:left w:val="none" w:sz="0" w:space="0" w:color="auto"/>
            <w:bottom w:val="none" w:sz="0" w:space="0" w:color="auto"/>
            <w:right w:val="none" w:sz="0" w:space="0" w:color="auto"/>
          </w:divBdr>
        </w:div>
        <w:div w:id="2146776942">
          <w:marLeft w:val="1166"/>
          <w:marRight w:val="0"/>
          <w:marTop w:val="96"/>
          <w:marBottom w:val="0"/>
          <w:divBdr>
            <w:top w:val="none" w:sz="0" w:space="0" w:color="auto"/>
            <w:left w:val="none" w:sz="0" w:space="0" w:color="auto"/>
            <w:bottom w:val="none" w:sz="0" w:space="0" w:color="auto"/>
            <w:right w:val="none" w:sz="0" w:space="0" w:color="auto"/>
          </w:divBdr>
        </w:div>
        <w:div w:id="759526527">
          <w:marLeft w:val="547"/>
          <w:marRight w:val="0"/>
          <w:marTop w:val="115"/>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59235454">
      <w:bodyDiv w:val="1"/>
      <w:marLeft w:val="0"/>
      <w:marRight w:val="0"/>
      <w:marTop w:val="0"/>
      <w:marBottom w:val="0"/>
      <w:divBdr>
        <w:top w:val="none" w:sz="0" w:space="0" w:color="auto"/>
        <w:left w:val="none" w:sz="0" w:space="0" w:color="auto"/>
        <w:bottom w:val="none" w:sz="0" w:space="0" w:color="auto"/>
        <w:right w:val="none" w:sz="0" w:space="0" w:color="auto"/>
      </w:divBdr>
      <w:divsChild>
        <w:div w:id="723869069">
          <w:marLeft w:val="360"/>
          <w:marRight w:val="0"/>
          <w:marTop w:val="200"/>
          <w:marBottom w:val="0"/>
          <w:divBdr>
            <w:top w:val="none" w:sz="0" w:space="0" w:color="auto"/>
            <w:left w:val="none" w:sz="0" w:space="0" w:color="auto"/>
            <w:bottom w:val="none" w:sz="0" w:space="0" w:color="auto"/>
            <w:right w:val="none" w:sz="0" w:space="0" w:color="auto"/>
          </w:divBdr>
        </w:div>
        <w:div w:id="577131819">
          <w:marLeft w:val="1080"/>
          <w:marRight w:val="0"/>
          <w:marTop w:val="100"/>
          <w:marBottom w:val="0"/>
          <w:divBdr>
            <w:top w:val="none" w:sz="0" w:space="0" w:color="auto"/>
            <w:left w:val="none" w:sz="0" w:space="0" w:color="auto"/>
            <w:bottom w:val="none" w:sz="0" w:space="0" w:color="auto"/>
            <w:right w:val="none" w:sz="0" w:space="0" w:color="auto"/>
          </w:divBdr>
        </w:div>
        <w:div w:id="601914963">
          <w:marLeft w:val="1080"/>
          <w:marRight w:val="0"/>
          <w:marTop w:val="10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4349443">
      <w:bodyDiv w:val="1"/>
      <w:marLeft w:val="0"/>
      <w:marRight w:val="0"/>
      <w:marTop w:val="0"/>
      <w:marBottom w:val="0"/>
      <w:divBdr>
        <w:top w:val="none" w:sz="0" w:space="0" w:color="auto"/>
        <w:left w:val="none" w:sz="0" w:space="0" w:color="auto"/>
        <w:bottom w:val="none" w:sz="0" w:space="0" w:color="auto"/>
        <w:right w:val="none" w:sz="0" w:space="0" w:color="auto"/>
      </w:divBdr>
      <w:divsChild>
        <w:div w:id="436799689">
          <w:marLeft w:val="360"/>
          <w:marRight w:val="0"/>
          <w:marTop w:val="200"/>
          <w:marBottom w:val="0"/>
          <w:divBdr>
            <w:top w:val="none" w:sz="0" w:space="0" w:color="auto"/>
            <w:left w:val="none" w:sz="0" w:space="0" w:color="auto"/>
            <w:bottom w:val="none" w:sz="0" w:space="0" w:color="auto"/>
            <w:right w:val="none" w:sz="0" w:space="0" w:color="auto"/>
          </w:divBdr>
        </w:div>
        <w:div w:id="1462116401">
          <w:marLeft w:val="1080"/>
          <w:marRight w:val="0"/>
          <w:marTop w:val="100"/>
          <w:marBottom w:val="0"/>
          <w:divBdr>
            <w:top w:val="none" w:sz="0" w:space="0" w:color="auto"/>
            <w:left w:val="none" w:sz="0" w:space="0" w:color="auto"/>
            <w:bottom w:val="none" w:sz="0" w:space="0" w:color="auto"/>
            <w:right w:val="none" w:sz="0" w:space="0" w:color="auto"/>
          </w:divBdr>
        </w:div>
        <w:div w:id="1901742866">
          <w:marLeft w:val="1800"/>
          <w:marRight w:val="0"/>
          <w:marTop w:val="100"/>
          <w:marBottom w:val="0"/>
          <w:divBdr>
            <w:top w:val="none" w:sz="0" w:space="0" w:color="auto"/>
            <w:left w:val="none" w:sz="0" w:space="0" w:color="auto"/>
            <w:bottom w:val="none" w:sz="0" w:space="0" w:color="auto"/>
            <w:right w:val="none" w:sz="0" w:space="0" w:color="auto"/>
          </w:divBdr>
        </w:div>
        <w:div w:id="71976060">
          <w:marLeft w:val="1800"/>
          <w:marRight w:val="0"/>
          <w:marTop w:val="100"/>
          <w:marBottom w:val="0"/>
          <w:divBdr>
            <w:top w:val="none" w:sz="0" w:space="0" w:color="auto"/>
            <w:left w:val="none" w:sz="0" w:space="0" w:color="auto"/>
            <w:bottom w:val="none" w:sz="0" w:space="0" w:color="auto"/>
            <w:right w:val="none" w:sz="0" w:space="0" w:color="auto"/>
          </w:divBdr>
        </w:div>
      </w:divsChild>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4088184">
      <w:bodyDiv w:val="1"/>
      <w:marLeft w:val="0"/>
      <w:marRight w:val="0"/>
      <w:marTop w:val="0"/>
      <w:marBottom w:val="0"/>
      <w:divBdr>
        <w:top w:val="none" w:sz="0" w:space="0" w:color="auto"/>
        <w:left w:val="none" w:sz="0" w:space="0" w:color="auto"/>
        <w:bottom w:val="none" w:sz="0" w:space="0" w:color="auto"/>
        <w:right w:val="none" w:sz="0" w:space="0" w:color="auto"/>
      </w:divBdr>
      <w:divsChild>
        <w:div w:id="663818559">
          <w:marLeft w:val="547"/>
          <w:marRight w:val="0"/>
          <w:marTop w:val="96"/>
          <w:marBottom w:val="0"/>
          <w:divBdr>
            <w:top w:val="none" w:sz="0" w:space="0" w:color="auto"/>
            <w:left w:val="none" w:sz="0" w:space="0" w:color="auto"/>
            <w:bottom w:val="none" w:sz="0" w:space="0" w:color="auto"/>
            <w:right w:val="none" w:sz="0" w:space="0" w:color="auto"/>
          </w:divBdr>
        </w:div>
        <w:div w:id="62535774">
          <w:marLeft w:val="1166"/>
          <w:marRight w:val="0"/>
          <w:marTop w:val="86"/>
          <w:marBottom w:val="0"/>
          <w:divBdr>
            <w:top w:val="none" w:sz="0" w:space="0" w:color="auto"/>
            <w:left w:val="none" w:sz="0" w:space="0" w:color="auto"/>
            <w:bottom w:val="none" w:sz="0" w:space="0" w:color="auto"/>
            <w:right w:val="none" w:sz="0" w:space="0" w:color="auto"/>
          </w:divBdr>
        </w:div>
        <w:div w:id="2056348465">
          <w:marLeft w:val="547"/>
          <w:marRight w:val="0"/>
          <w:marTop w:val="96"/>
          <w:marBottom w:val="0"/>
          <w:divBdr>
            <w:top w:val="none" w:sz="0" w:space="0" w:color="auto"/>
            <w:left w:val="none" w:sz="0" w:space="0" w:color="auto"/>
            <w:bottom w:val="none" w:sz="0" w:space="0" w:color="auto"/>
            <w:right w:val="none" w:sz="0" w:space="0" w:color="auto"/>
          </w:divBdr>
        </w:div>
        <w:div w:id="939217191">
          <w:marLeft w:val="1166"/>
          <w:marRight w:val="0"/>
          <w:marTop w:val="86"/>
          <w:marBottom w:val="0"/>
          <w:divBdr>
            <w:top w:val="none" w:sz="0" w:space="0" w:color="auto"/>
            <w:left w:val="none" w:sz="0" w:space="0" w:color="auto"/>
            <w:bottom w:val="none" w:sz="0" w:space="0" w:color="auto"/>
            <w:right w:val="none" w:sz="0" w:space="0" w:color="auto"/>
          </w:divBdr>
        </w:div>
        <w:div w:id="371349051">
          <w:marLeft w:val="1166"/>
          <w:marRight w:val="0"/>
          <w:marTop w:val="86"/>
          <w:marBottom w:val="0"/>
          <w:divBdr>
            <w:top w:val="none" w:sz="0" w:space="0" w:color="auto"/>
            <w:left w:val="none" w:sz="0" w:space="0" w:color="auto"/>
            <w:bottom w:val="none" w:sz="0" w:space="0" w:color="auto"/>
            <w:right w:val="none" w:sz="0" w:space="0" w:color="auto"/>
          </w:divBdr>
        </w:div>
        <w:div w:id="586883886">
          <w:marLeft w:val="1166"/>
          <w:marRight w:val="0"/>
          <w:marTop w:val="86"/>
          <w:marBottom w:val="0"/>
          <w:divBdr>
            <w:top w:val="none" w:sz="0" w:space="0" w:color="auto"/>
            <w:left w:val="none" w:sz="0" w:space="0" w:color="auto"/>
            <w:bottom w:val="none" w:sz="0" w:space="0" w:color="auto"/>
            <w:right w:val="none" w:sz="0" w:space="0" w:color="auto"/>
          </w:divBdr>
        </w:div>
        <w:div w:id="44762333">
          <w:marLeft w:val="1800"/>
          <w:marRight w:val="0"/>
          <w:marTop w:val="77"/>
          <w:marBottom w:val="0"/>
          <w:divBdr>
            <w:top w:val="none" w:sz="0" w:space="0" w:color="auto"/>
            <w:left w:val="none" w:sz="0" w:space="0" w:color="auto"/>
            <w:bottom w:val="none" w:sz="0" w:space="0" w:color="auto"/>
            <w:right w:val="none" w:sz="0" w:space="0" w:color="auto"/>
          </w:divBdr>
        </w:div>
        <w:div w:id="342586448">
          <w:marLeft w:val="1800"/>
          <w:marRight w:val="0"/>
          <w:marTop w:val="77"/>
          <w:marBottom w:val="0"/>
          <w:divBdr>
            <w:top w:val="none" w:sz="0" w:space="0" w:color="auto"/>
            <w:left w:val="none" w:sz="0" w:space="0" w:color="auto"/>
            <w:bottom w:val="none" w:sz="0" w:space="0" w:color="auto"/>
            <w:right w:val="none" w:sz="0" w:space="0" w:color="auto"/>
          </w:divBdr>
        </w:div>
        <w:div w:id="721102131">
          <w:marLeft w:val="547"/>
          <w:marRight w:val="0"/>
          <w:marTop w:val="96"/>
          <w:marBottom w:val="0"/>
          <w:divBdr>
            <w:top w:val="none" w:sz="0" w:space="0" w:color="auto"/>
            <w:left w:val="none" w:sz="0" w:space="0" w:color="auto"/>
            <w:bottom w:val="none" w:sz="0" w:space="0" w:color="auto"/>
            <w:right w:val="none" w:sz="0" w:space="0" w:color="auto"/>
          </w:divBdr>
        </w:div>
        <w:div w:id="553272137">
          <w:marLeft w:val="1166"/>
          <w:marRight w:val="0"/>
          <w:marTop w:val="86"/>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954049">
      <w:bodyDiv w:val="1"/>
      <w:marLeft w:val="0"/>
      <w:marRight w:val="0"/>
      <w:marTop w:val="0"/>
      <w:marBottom w:val="0"/>
      <w:divBdr>
        <w:top w:val="none" w:sz="0" w:space="0" w:color="auto"/>
        <w:left w:val="none" w:sz="0" w:space="0" w:color="auto"/>
        <w:bottom w:val="none" w:sz="0" w:space="0" w:color="auto"/>
        <w:right w:val="none" w:sz="0" w:space="0" w:color="auto"/>
      </w:divBdr>
      <w:divsChild>
        <w:div w:id="1166476172">
          <w:marLeft w:val="360"/>
          <w:marRight w:val="0"/>
          <w:marTop w:val="200"/>
          <w:marBottom w:val="0"/>
          <w:divBdr>
            <w:top w:val="none" w:sz="0" w:space="0" w:color="auto"/>
            <w:left w:val="none" w:sz="0" w:space="0" w:color="auto"/>
            <w:bottom w:val="none" w:sz="0" w:space="0" w:color="auto"/>
            <w:right w:val="none" w:sz="0" w:space="0" w:color="auto"/>
          </w:divBdr>
        </w:div>
        <w:div w:id="1942838535">
          <w:marLeft w:val="360"/>
          <w:marRight w:val="0"/>
          <w:marTop w:val="200"/>
          <w:marBottom w:val="0"/>
          <w:divBdr>
            <w:top w:val="none" w:sz="0" w:space="0" w:color="auto"/>
            <w:left w:val="none" w:sz="0" w:space="0" w:color="auto"/>
            <w:bottom w:val="none" w:sz="0" w:space="0" w:color="auto"/>
            <w:right w:val="none" w:sz="0" w:space="0" w:color="auto"/>
          </w:divBdr>
        </w:div>
        <w:div w:id="1420786879">
          <w:marLeft w:val="360"/>
          <w:marRight w:val="0"/>
          <w:marTop w:val="200"/>
          <w:marBottom w:val="0"/>
          <w:divBdr>
            <w:top w:val="none" w:sz="0" w:space="0" w:color="auto"/>
            <w:left w:val="none" w:sz="0" w:space="0" w:color="auto"/>
            <w:bottom w:val="none" w:sz="0" w:space="0" w:color="auto"/>
            <w:right w:val="none" w:sz="0" w:space="0" w:color="auto"/>
          </w:divBdr>
        </w:div>
      </w:divsChild>
    </w:div>
    <w:div w:id="1507480317">
      <w:bodyDiv w:val="1"/>
      <w:marLeft w:val="0"/>
      <w:marRight w:val="0"/>
      <w:marTop w:val="0"/>
      <w:marBottom w:val="0"/>
      <w:divBdr>
        <w:top w:val="none" w:sz="0" w:space="0" w:color="auto"/>
        <w:left w:val="none" w:sz="0" w:space="0" w:color="auto"/>
        <w:bottom w:val="none" w:sz="0" w:space="0" w:color="auto"/>
        <w:right w:val="none" w:sz="0" w:space="0" w:color="auto"/>
      </w:divBdr>
      <w:divsChild>
        <w:div w:id="1572303311">
          <w:marLeft w:val="360"/>
          <w:marRight w:val="0"/>
          <w:marTop w:val="200"/>
          <w:marBottom w:val="0"/>
          <w:divBdr>
            <w:top w:val="none" w:sz="0" w:space="0" w:color="auto"/>
            <w:left w:val="none" w:sz="0" w:space="0" w:color="auto"/>
            <w:bottom w:val="none" w:sz="0" w:space="0" w:color="auto"/>
            <w:right w:val="none" w:sz="0" w:space="0" w:color="auto"/>
          </w:divBdr>
        </w:div>
        <w:div w:id="587544363">
          <w:marLeft w:val="1080"/>
          <w:marRight w:val="0"/>
          <w:marTop w:val="100"/>
          <w:marBottom w:val="0"/>
          <w:divBdr>
            <w:top w:val="none" w:sz="0" w:space="0" w:color="auto"/>
            <w:left w:val="none" w:sz="0" w:space="0" w:color="auto"/>
            <w:bottom w:val="none" w:sz="0" w:space="0" w:color="auto"/>
            <w:right w:val="none" w:sz="0" w:space="0" w:color="auto"/>
          </w:divBdr>
        </w:div>
        <w:div w:id="163982308">
          <w:marLeft w:val="1080"/>
          <w:marRight w:val="0"/>
          <w:marTop w:val="10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7323930">
      <w:bodyDiv w:val="1"/>
      <w:marLeft w:val="0"/>
      <w:marRight w:val="0"/>
      <w:marTop w:val="0"/>
      <w:marBottom w:val="0"/>
      <w:divBdr>
        <w:top w:val="none" w:sz="0" w:space="0" w:color="auto"/>
        <w:left w:val="none" w:sz="0" w:space="0" w:color="auto"/>
        <w:bottom w:val="none" w:sz="0" w:space="0" w:color="auto"/>
        <w:right w:val="none" w:sz="0" w:space="0" w:color="auto"/>
      </w:divBdr>
      <w:divsChild>
        <w:div w:id="41638527">
          <w:marLeft w:val="547"/>
          <w:marRight w:val="0"/>
          <w:marTop w:val="96"/>
          <w:marBottom w:val="0"/>
          <w:divBdr>
            <w:top w:val="none" w:sz="0" w:space="0" w:color="auto"/>
            <w:left w:val="none" w:sz="0" w:space="0" w:color="auto"/>
            <w:bottom w:val="none" w:sz="0" w:space="0" w:color="auto"/>
            <w:right w:val="none" w:sz="0" w:space="0" w:color="auto"/>
          </w:divBdr>
        </w:div>
        <w:div w:id="241186318">
          <w:marLeft w:val="547"/>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953790">
      <w:bodyDiv w:val="1"/>
      <w:marLeft w:val="0"/>
      <w:marRight w:val="0"/>
      <w:marTop w:val="0"/>
      <w:marBottom w:val="0"/>
      <w:divBdr>
        <w:top w:val="none" w:sz="0" w:space="0" w:color="auto"/>
        <w:left w:val="none" w:sz="0" w:space="0" w:color="auto"/>
        <w:bottom w:val="none" w:sz="0" w:space="0" w:color="auto"/>
        <w:right w:val="none" w:sz="0" w:space="0" w:color="auto"/>
      </w:divBdr>
      <w:divsChild>
        <w:div w:id="287594094">
          <w:marLeft w:val="360"/>
          <w:marRight w:val="0"/>
          <w:marTop w:val="200"/>
          <w:marBottom w:val="0"/>
          <w:divBdr>
            <w:top w:val="none" w:sz="0" w:space="0" w:color="auto"/>
            <w:left w:val="none" w:sz="0" w:space="0" w:color="auto"/>
            <w:bottom w:val="none" w:sz="0" w:space="0" w:color="auto"/>
            <w:right w:val="none" w:sz="0" w:space="0" w:color="auto"/>
          </w:divBdr>
        </w:div>
      </w:divsChild>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78079777">
      <w:bodyDiv w:val="1"/>
      <w:marLeft w:val="0"/>
      <w:marRight w:val="0"/>
      <w:marTop w:val="0"/>
      <w:marBottom w:val="0"/>
      <w:divBdr>
        <w:top w:val="none" w:sz="0" w:space="0" w:color="auto"/>
        <w:left w:val="none" w:sz="0" w:space="0" w:color="auto"/>
        <w:bottom w:val="none" w:sz="0" w:space="0" w:color="auto"/>
        <w:right w:val="none" w:sz="0" w:space="0" w:color="auto"/>
      </w:divBdr>
      <w:divsChild>
        <w:div w:id="168523501">
          <w:marLeft w:val="360"/>
          <w:marRight w:val="0"/>
          <w:marTop w:val="200"/>
          <w:marBottom w:val="0"/>
          <w:divBdr>
            <w:top w:val="none" w:sz="0" w:space="0" w:color="auto"/>
            <w:left w:val="none" w:sz="0" w:space="0" w:color="auto"/>
            <w:bottom w:val="none" w:sz="0" w:space="0" w:color="auto"/>
            <w:right w:val="none" w:sz="0" w:space="0" w:color="auto"/>
          </w:divBdr>
        </w:div>
        <w:div w:id="847869583">
          <w:marLeft w:val="1080"/>
          <w:marRight w:val="0"/>
          <w:marTop w:val="100"/>
          <w:marBottom w:val="0"/>
          <w:divBdr>
            <w:top w:val="none" w:sz="0" w:space="0" w:color="auto"/>
            <w:left w:val="none" w:sz="0" w:space="0" w:color="auto"/>
            <w:bottom w:val="none" w:sz="0" w:space="0" w:color="auto"/>
            <w:right w:val="none" w:sz="0" w:space="0" w:color="auto"/>
          </w:divBdr>
        </w:div>
        <w:div w:id="2078018620">
          <w:marLeft w:val="108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5845585">
      <w:bodyDiv w:val="1"/>
      <w:marLeft w:val="0"/>
      <w:marRight w:val="0"/>
      <w:marTop w:val="0"/>
      <w:marBottom w:val="0"/>
      <w:divBdr>
        <w:top w:val="none" w:sz="0" w:space="0" w:color="auto"/>
        <w:left w:val="none" w:sz="0" w:space="0" w:color="auto"/>
        <w:bottom w:val="none" w:sz="0" w:space="0" w:color="auto"/>
        <w:right w:val="none" w:sz="0" w:space="0" w:color="auto"/>
      </w:divBdr>
      <w:divsChild>
        <w:div w:id="779380072">
          <w:marLeft w:val="360"/>
          <w:marRight w:val="0"/>
          <w:marTop w:val="200"/>
          <w:marBottom w:val="0"/>
          <w:divBdr>
            <w:top w:val="none" w:sz="0" w:space="0" w:color="auto"/>
            <w:left w:val="none" w:sz="0" w:space="0" w:color="auto"/>
            <w:bottom w:val="none" w:sz="0" w:space="0" w:color="auto"/>
            <w:right w:val="none" w:sz="0" w:space="0" w:color="auto"/>
          </w:divBdr>
        </w:div>
      </w:divsChild>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5871883">
      <w:bodyDiv w:val="1"/>
      <w:marLeft w:val="0"/>
      <w:marRight w:val="0"/>
      <w:marTop w:val="0"/>
      <w:marBottom w:val="0"/>
      <w:divBdr>
        <w:top w:val="none" w:sz="0" w:space="0" w:color="auto"/>
        <w:left w:val="none" w:sz="0" w:space="0" w:color="auto"/>
        <w:bottom w:val="none" w:sz="0" w:space="0" w:color="auto"/>
        <w:right w:val="none" w:sz="0" w:space="0" w:color="auto"/>
      </w:divBdr>
      <w:divsChild>
        <w:div w:id="867329778">
          <w:marLeft w:val="360"/>
          <w:marRight w:val="0"/>
          <w:marTop w:val="200"/>
          <w:marBottom w:val="0"/>
          <w:divBdr>
            <w:top w:val="none" w:sz="0" w:space="0" w:color="auto"/>
            <w:left w:val="none" w:sz="0" w:space="0" w:color="auto"/>
            <w:bottom w:val="none" w:sz="0" w:space="0" w:color="auto"/>
            <w:right w:val="none" w:sz="0" w:space="0" w:color="auto"/>
          </w:divBdr>
        </w:div>
        <w:div w:id="1195999062">
          <w:marLeft w:val="1080"/>
          <w:marRight w:val="0"/>
          <w:marTop w:val="100"/>
          <w:marBottom w:val="0"/>
          <w:divBdr>
            <w:top w:val="none" w:sz="0" w:space="0" w:color="auto"/>
            <w:left w:val="none" w:sz="0" w:space="0" w:color="auto"/>
            <w:bottom w:val="none" w:sz="0" w:space="0" w:color="auto"/>
            <w:right w:val="none" w:sz="0" w:space="0" w:color="auto"/>
          </w:divBdr>
        </w:div>
        <w:div w:id="2050257159">
          <w:marLeft w:val="1080"/>
          <w:marRight w:val="0"/>
          <w:marTop w:val="100"/>
          <w:marBottom w:val="0"/>
          <w:divBdr>
            <w:top w:val="none" w:sz="0" w:space="0" w:color="auto"/>
            <w:left w:val="none" w:sz="0" w:space="0" w:color="auto"/>
            <w:bottom w:val="none" w:sz="0" w:space="0" w:color="auto"/>
            <w:right w:val="none" w:sz="0" w:space="0" w:color="auto"/>
          </w:divBdr>
        </w:div>
        <w:div w:id="452097076">
          <w:marLeft w:val="1080"/>
          <w:marRight w:val="0"/>
          <w:marTop w:val="100"/>
          <w:marBottom w:val="0"/>
          <w:divBdr>
            <w:top w:val="none" w:sz="0" w:space="0" w:color="auto"/>
            <w:left w:val="none" w:sz="0" w:space="0" w:color="auto"/>
            <w:bottom w:val="none" w:sz="0" w:space="0" w:color="auto"/>
            <w:right w:val="none" w:sz="0" w:space="0" w:color="auto"/>
          </w:divBdr>
        </w:div>
        <w:div w:id="186873439">
          <w:marLeft w:val="1080"/>
          <w:marRight w:val="0"/>
          <w:marTop w:val="100"/>
          <w:marBottom w:val="0"/>
          <w:divBdr>
            <w:top w:val="none" w:sz="0" w:space="0" w:color="auto"/>
            <w:left w:val="none" w:sz="0" w:space="0" w:color="auto"/>
            <w:bottom w:val="none" w:sz="0" w:space="0" w:color="auto"/>
            <w:right w:val="none" w:sz="0" w:space="0" w:color="auto"/>
          </w:divBdr>
        </w:div>
        <w:div w:id="1357997112">
          <w:marLeft w:val="1080"/>
          <w:marRight w:val="0"/>
          <w:marTop w:val="100"/>
          <w:marBottom w:val="0"/>
          <w:divBdr>
            <w:top w:val="none" w:sz="0" w:space="0" w:color="auto"/>
            <w:left w:val="none" w:sz="0" w:space="0" w:color="auto"/>
            <w:bottom w:val="none" w:sz="0" w:space="0" w:color="auto"/>
            <w:right w:val="none" w:sz="0" w:space="0" w:color="auto"/>
          </w:divBdr>
        </w:div>
        <w:div w:id="1078744907">
          <w:marLeft w:val="1080"/>
          <w:marRight w:val="0"/>
          <w:marTop w:val="100"/>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6573671">
      <w:bodyDiv w:val="1"/>
      <w:marLeft w:val="0"/>
      <w:marRight w:val="0"/>
      <w:marTop w:val="0"/>
      <w:marBottom w:val="0"/>
      <w:divBdr>
        <w:top w:val="none" w:sz="0" w:space="0" w:color="auto"/>
        <w:left w:val="none" w:sz="0" w:space="0" w:color="auto"/>
        <w:bottom w:val="none" w:sz="0" w:space="0" w:color="auto"/>
        <w:right w:val="none" w:sz="0" w:space="0" w:color="auto"/>
      </w:divBdr>
      <w:divsChild>
        <w:div w:id="2066486161">
          <w:marLeft w:val="360"/>
          <w:marRight w:val="0"/>
          <w:marTop w:val="200"/>
          <w:marBottom w:val="0"/>
          <w:divBdr>
            <w:top w:val="none" w:sz="0" w:space="0" w:color="auto"/>
            <w:left w:val="none" w:sz="0" w:space="0" w:color="auto"/>
            <w:bottom w:val="none" w:sz="0" w:space="0" w:color="auto"/>
            <w:right w:val="none" w:sz="0" w:space="0" w:color="auto"/>
          </w:divBdr>
        </w:div>
        <w:div w:id="1588730096">
          <w:marLeft w:val="1080"/>
          <w:marRight w:val="0"/>
          <w:marTop w:val="100"/>
          <w:marBottom w:val="0"/>
          <w:divBdr>
            <w:top w:val="none" w:sz="0" w:space="0" w:color="auto"/>
            <w:left w:val="none" w:sz="0" w:space="0" w:color="auto"/>
            <w:bottom w:val="none" w:sz="0" w:space="0" w:color="auto"/>
            <w:right w:val="none" w:sz="0" w:space="0" w:color="auto"/>
          </w:divBdr>
        </w:div>
        <w:div w:id="1180119099">
          <w:marLeft w:val="1080"/>
          <w:marRight w:val="0"/>
          <w:marTop w:val="100"/>
          <w:marBottom w:val="0"/>
          <w:divBdr>
            <w:top w:val="none" w:sz="0" w:space="0" w:color="auto"/>
            <w:left w:val="none" w:sz="0" w:space="0" w:color="auto"/>
            <w:bottom w:val="none" w:sz="0" w:space="0" w:color="auto"/>
            <w:right w:val="none" w:sz="0" w:space="0" w:color="auto"/>
          </w:divBdr>
        </w:div>
        <w:div w:id="112866437">
          <w:marLeft w:val="1080"/>
          <w:marRight w:val="0"/>
          <w:marTop w:val="100"/>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43286308">
      <w:bodyDiv w:val="1"/>
      <w:marLeft w:val="0"/>
      <w:marRight w:val="0"/>
      <w:marTop w:val="0"/>
      <w:marBottom w:val="0"/>
      <w:divBdr>
        <w:top w:val="none" w:sz="0" w:space="0" w:color="auto"/>
        <w:left w:val="none" w:sz="0" w:space="0" w:color="auto"/>
        <w:bottom w:val="none" w:sz="0" w:space="0" w:color="auto"/>
        <w:right w:val="none" w:sz="0" w:space="0" w:color="auto"/>
      </w:divBdr>
      <w:divsChild>
        <w:div w:id="832793420">
          <w:marLeft w:val="1080"/>
          <w:marRight w:val="0"/>
          <w:marTop w:val="100"/>
          <w:marBottom w:val="0"/>
          <w:divBdr>
            <w:top w:val="none" w:sz="0" w:space="0" w:color="auto"/>
            <w:left w:val="none" w:sz="0" w:space="0" w:color="auto"/>
            <w:bottom w:val="none" w:sz="0" w:space="0" w:color="auto"/>
            <w:right w:val="none" w:sz="0" w:space="0" w:color="auto"/>
          </w:divBdr>
        </w:div>
      </w:divsChild>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26386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5E6CDF23-D7EB-4BE7-9F6B-9548D2579D43}">
  <ds:schemaRefs>
    <ds:schemaRef ds:uri="http://schemas.openxmlformats.org/officeDocument/2006/bibliography"/>
  </ds:schemaRefs>
</ds:datastoreItem>
</file>

<file path=customXml/itemProps5.xml><?xml version="1.0" encoding="utf-8"?>
<ds:datastoreItem xmlns:ds="http://schemas.openxmlformats.org/officeDocument/2006/customXml" ds:itemID="{7BAFD984-7BE7-4C95-81E6-4376C5729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1806</TotalTime>
  <Pages>2</Pages>
  <Words>888</Words>
  <Characters>4345</Characters>
  <Application>Microsoft Office Word</Application>
  <DocSecurity>0</DocSecurity>
  <Lines>101</Lines>
  <Paragraphs>84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 #95-e)</cp:lastModifiedBy>
  <cp:revision>32</cp:revision>
  <cp:lastPrinted>2018-02-12T13:00:00Z</cp:lastPrinted>
  <dcterms:created xsi:type="dcterms:W3CDTF">2020-02-14T17:33:00Z</dcterms:created>
  <dcterms:modified xsi:type="dcterms:W3CDTF">2020-05-15T18:08:00Z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5d18adb8-4ab0-434a-8904-577e7d933eb8</vt:lpwstr>
  </property>
  <property fmtid="{D5CDD505-2E9C-101B-9397-08002B2CF9AE}" pid="4" name="CTP_TimeStamp">
    <vt:lpwstr>2020-05-15 18:08:38Z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